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ry9y8odzp90" w:id="0"/>
      <w:bookmarkEnd w:id="0"/>
      <w:r w:rsidDel="00000000" w:rsidR="00000000" w:rsidRPr="00000000">
        <w:rPr>
          <w:rtl w:val="0"/>
        </w:rPr>
        <w:t xml:space="preserve">Changing Hr title to Manager from Director</w:t>
      </w:r>
    </w:p>
    <w:p w:rsidR="00000000" w:rsidDel="00000000" w:rsidP="00000000" w:rsidRDefault="00000000" w:rsidRPr="00000000" w14:paraId="00000003">
      <w:pPr>
        <w:pStyle w:val="Heading1"/>
        <w:rPr>
          <w:b w:val="0"/>
        </w:rPr>
      </w:pPr>
      <w:bookmarkStart w:colFirst="0" w:colLast="0" w:name="_lkvmis4ck1w5" w:id="1"/>
      <w:bookmarkEnd w:id="1"/>
      <w:r w:rsidDel="00000000" w:rsidR="00000000" w:rsidRPr="00000000">
        <w:rPr>
          <w:b w:val="0"/>
          <w:rtl w:val="0"/>
        </w:rPr>
        <w:t xml:space="preserve">Roy will take care of this.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New member is Jerry Harris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Showed map of where Bollards and gates would be placed.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Annual report went out in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Working on Cameras on campus, parking lots make safer, mass notifications with texting app, PA system.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y2n3y1jh0t5w" w:id="7"/>
      <w:bookmarkEnd w:id="7"/>
      <w:r w:rsidDel="00000000" w:rsidR="00000000" w:rsidRPr="00000000">
        <w:rPr>
          <w:rtl w:val="0"/>
        </w:rPr>
        <w:t xml:space="preserve">Safety Training &amp; Handling Chemicals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or two a week and College Safety follows up with them.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Gave more talks about making the CDC more safe.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Still working on the final report, should be early December. Has to go through approvals on campus and then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Take to the Board in Feb 2025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See above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See above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Study Jam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Risk Management (Christian Hootman)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NP 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3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11/13/2024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Teams Meeting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47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11/13/2024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