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17C5" w14:textId="736DDE4A" w:rsidR="00D60577" w:rsidRPr="00093CE2" w:rsidRDefault="00A66E7D" w:rsidP="00904734">
      <w:pPr>
        <w:pStyle w:val="Title"/>
        <w:rPr>
          <w:b/>
          <w:bCs/>
          <w:sz w:val="42"/>
          <w:szCs w:val="42"/>
        </w:rPr>
      </w:pPr>
      <w:r w:rsidRPr="00093CE2">
        <w:rPr>
          <w:b/>
          <w:bCs/>
          <w:sz w:val="42"/>
          <w:szCs w:val="42"/>
        </w:rPr>
        <w:t>Enrollment Management</w:t>
      </w:r>
      <w:r w:rsidR="00904734" w:rsidRPr="00093CE2">
        <w:rPr>
          <w:b/>
          <w:bCs/>
          <w:sz w:val="42"/>
          <w:szCs w:val="42"/>
        </w:rPr>
        <w:t xml:space="preserve"> Committee Report to Academic Senate</w:t>
      </w:r>
    </w:p>
    <w:p w14:paraId="4F61B83B" w14:textId="425AB550" w:rsidR="00904734" w:rsidRDefault="00093CE2" w:rsidP="00904734">
      <w:pPr>
        <w:jc w:val="center"/>
      </w:pPr>
      <w:r>
        <w:t>February 28, 2024</w:t>
      </w:r>
    </w:p>
    <w:p w14:paraId="72E59D33" w14:textId="77777777" w:rsidR="00904734" w:rsidRDefault="00904734" w:rsidP="00904734">
      <w:pPr>
        <w:jc w:val="center"/>
      </w:pPr>
    </w:p>
    <w:p w14:paraId="6DCCB1B3" w14:textId="77777777" w:rsidR="00904734" w:rsidRDefault="00904734" w:rsidP="00904734">
      <w:pPr>
        <w:pStyle w:val="Heading1"/>
      </w:pPr>
      <w:r>
        <w:t xml:space="preserve">Goals of the Committee: </w:t>
      </w:r>
    </w:p>
    <w:p w14:paraId="60CA09C0" w14:textId="7C612183" w:rsidR="00904734" w:rsidRDefault="00DB1B10" w:rsidP="00904734">
      <w:pPr>
        <w:pStyle w:val="ListParagraph"/>
        <w:numPr>
          <w:ilvl w:val="0"/>
          <w:numId w:val="4"/>
        </w:numPr>
        <w:rPr>
          <w:color w:val="000000" w:themeColor="text1"/>
          <w:spacing w:val="-4"/>
          <w:w w:val="105"/>
        </w:rPr>
      </w:pPr>
      <w:r>
        <w:t>I</w:t>
      </w:r>
      <w:r w:rsidRPr="0007733B">
        <w:rPr>
          <w:color w:val="000000" w:themeColor="text1"/>
          <w:w w:val="105"/>
        </w:rPr>
        <w:t xml:space="preserve">mprove student </w:t>
      </w:r>
      <w:r>
        <w:rPr>
          <w:w w:val="105"/>
        </w:rPr>
        <w:t>success and access by reviewing,</w:t>
      </w:r>
      <w:r>
        <w:rPr>
          <w:spacing w:val="-5"/>
          <w:w w:val="105"/>
        </w:rPr>
        <w:t xml:space="preserve"> </w:t>
      </w:r>
      <w:r>
        <w:rPr>
          <w:w w:val="105"/>
        </w:rPr>
        <w:t>monitoring,</w:t>
      </w:r>
      <w:r>
        <w:rPr>
          <w:spacing w:val="-2"/>
          <w:w w:val="105"/>
        </w:rPr>
        <w:t xml:space="preserve"> </w:t>
      </w:r>
      <w:r>
        <w:rPr>
          <w:w w:val="105"/>
        </w:rPr>
        <w:t>evaluating</w:t>
      </w:r>
      <w:r w:rsidRPr="00143764">
        <w:rPr>
          <w:color w:val="000000" w:themeColor="text1"/>
          <w:w w:val="105"/>
        </w:rPr>
        <w:t>,</w:t>
      </w:r>
      <w:r w:rsidRPr="00143764">
        <w:rPr>
          <w:color w:val="000000" w:themeColor="text1"/>
          <w:spacing w:val="-5"/>
          <w:w w:val="105"/>
        </w:rPr>
        <w:t xml:space="preserve"> </w:t>
      </w:r>
      <w:r w:rsidRPr="00143764">
        <w:rPr>
          <w:color w:val="000000" w:themeColor="text1"/>
          <w:w w:val="105"/>
        </w:rPr>
        <w:t>and</w:t>
      </w:r>
      <w:r w:rsidRPr="00143764">
        <w:rPr>
          <w:color w:val="000000" w:themeColor="text1"/>
          <w:spacing w:val="-5"/>
          <w:w w:val="105"/>
        </w:rPr>
        <w:t xml:space="preserve"> </w:t>
      </w:r>
      <w:r w:rsidRPr="00143764">
        <w:rPr>
          <w:color w:val="000000" w:themeColor="text1"/>
          <w:w w:val="105"/>
        </w:rPr>
        <w:t>communicating</w:t>
      </w:r>
      <w:r w:rsidRPr="00143764">
        <w:rPr>
          <w:color w:val="000000" w:themeColor="text1"/>
          <w:spacing w:val="-5"/>
          <w:w w:val="105"/>
        </w:rPr>
        <w:t xml:space="preserve"> </w:t>
      </w:r>
      <w:r w:rsidRPr="00143764">
        <w:rPr>
          <w:color w:val="000000" w:themeColor="text1"/>
          <w:w w:val="105"/>
        </w:rPr>
        <w:t>on</w:t>
      </w:r>
      <w:r w:rsidRPr="00143764">
        <w:rPr>
          <w:color w:val="000000" w:themeColor="text1"/>
          <w:spacing w:val="-5"/>
          <w:w w:val="105"/>
        </w:rPr>
        <w:t xml:space="preserve"> </w:t>
      </w:r>
      <w:r w:rsidRPr="00143764">
        <w:rPr>
          <w:color w:val="000000" w:themeColor="text1"/>
          <w:w w:val="105"/>
        </w:rPr>
        <w:t>all</w:t>
      </w:r>
      <w:r w:rsidRPr="00143764">
        <w:rPr>
          <w:color w:val="000000" w:themeColor="text1"/>
          <w:spacing w:val="-4"/>
          <w:w w:val="105"/>
        </w:rPr>
        <w:t xml:space="preserve"> </w:t>
      </w:r>
      <w:r w:rsidRPr="00143764">
        <w:rPr>
          <w:color w:val="000000" w:themeColor="text1"/>
          <w:w w:val="105"/>
        </w:rPr>
        <w:t>aspects</w:t>
      </w:r>
      <w:r w:rsidRPr="00143764">
        <w:rPr>
          <w:color w:val="000000" w:themeColor="text1"/>
          <w:spacing w:val="-4"/>
          <w:w w:val="105"/>
        </w:rPr>
        <w:t xml:space="preserve"> </w:t>
      </w:r>
      <w:r w:rsidRPr="00143764">
        <w:rPr>
          <w:color w:val="000000" w:themeColor="text1"/>
          <w:w w:val="105"/>
        </w:rPr>
        <w:t>of</w:t>
      </w:r>
      <w:r w:rsidRPr="00143764">
        <w:rPr>
          <w:color w:val="000000" w:themeColor="text1"/>
          <w:spacing w:val="-5"/>
          <w:w w:val="105"/>
        </w:rPr>
        <w:t xml:space="preserve"> </w:t>
      </w:r>
      <w:r w:rsidRPr="0000558E">
        <w:rPr>
          <w:color w:val="000000" w:themeColor="text1"/>
          <w:spacing w:val="-4"/>
          <w:w w:val="105"/>
        </w:rPr>
        <w:t>the</w:t>
      </w:r>
      <w:r w:rsidRPr="00143764">
        <w:rPr>
          <w:color w:val="000000" w:themeColor="text1"/>
          <w:spacing w:val="-4"/>
          <w:w w:val="105"/>
        </w:rPr>
        <w:t xml:space="preserve"> </w:t>
      </w:r>
      <w:r w:rsidRPr="0000558E">
        <w:rPr>
          <w:color w:val="000000" w:themeColor="text1"/>
          <w:spacing w:val="-4"/>
          <w:w w:val="105"/>
        </w:rPr>
        <w:t>enrollment lifecycle for Bakersfield College students</w:t>
      </w:r>
      <w:r w:rsidR="0000558E">
        <w:rPr>
          <w:color w:val="000000" w:themeColor="text1"/>
          <w:spacing w:val="-4"/>
          <w:w w:val="105"/>
        </w:rPr>
        <w:t>.</w:t>
      </w:r>
    </w:p>
    <w:p w14:paraId="4C0FBD7F" w14:textId="25AE66FB" w:rsidR="00C40680" w:rsidRPr="0000558E" w:rsidRDefault="00C40680" w:rsidP="00C40680">
      <w:pPr>
        <w:pStyle w:val="ListParagraph"/>
        <w:numPr>
          <w:ilvl w:val="1"/>
          <w:numId w:val="4"/>
        </w:numPr>
        <w:rPr>
          <w:color w:val="000000" w:themeColor="text1"/>
          <w:spacing w:val="-4"/>
          <w:w w:val="105"/>
        </w:rPr>
      </w:pPr>
      <w:r>
        <w:t>Aligns with ACCJC Standards 1.2, 1.3, 1.5</w:t>
      </w:r>
    </w:p>
    <w:p w14:paraId="3D64C2C0" w14:textId="402CB328" w:rsidR="00C85E89" w:rsidRDefault="00C85E89" w:rsidP="0000558E">
      <w:pPr>
        <w:pStyle w:val="ListParagraph"/>
        <w:numPr>
          <w:ilvl w:val="0"/>
          <w:numId w:val="4"/>
        </w:numPr>
        <w:rPr>
          <w:color w:val="000000" w:themeColor="text1"/>
          <w:spacing w:val="-4"/>
          <w:w w:val="105"/>
        </w:rPr>
      </w:pPr>
      <w:r w:rsidRPr="0000558E">
        <w:rPr>
          <w:color w:val="000000" w:themeColor="text1"/>
          <w:spacing w:val="-4"/>
          <w:w w:val="105"/>
        </w:rPr>
        <w:t>Incorporate a systematic, comprehensive, research-driven collaborative inquiry about on-going enrollment trends, activities, and initiatives.</w:t>
      </w:r>
    </w:p>
    <w:p w14:paraId="5C3670E7" w14:textId="77777777" w:rsidR="00C40680" w:rsidRPr="0000558E" w:rsidRDefault="00C40680" w:rsidP="00C40680">
      <w:pPr>
        <w:pStyle w:val="ListParagraph"/>
        <w:numPr>
          <w:ilvl w:val="1"/>
          <w:numId w:val="4"/>
        </w:numPr>
        <w:rPr>
          <w:color w:val="000000" w:themeColor="text1"/>
          <w:spacing w:val="-4"/>
          <w:w w:val="105"/>
        </w:rPr>
      </w:pPr>
      <w:r>
        <w:t>Aligns with ACCJC Standards 1.2, 1.3, 1.5</w:t>
      </w:r>
    </w:p>
    <w:p w14:paraId="77546086" w14:textId="3E7A12B0" w:rsidR="0000558E" w:rsidRDefault="0000558E" w:rsidP="0000558E">
      <w:pPr>
        <w:pStyle w:val="ListParagraph"/>
        <w:numPr>
          <w:ilvl w:val="0"/>
          <w:numId w:val="4"/>
        </w:numPr>
        <w:rPr>
          <w:color w:val="000000" w:themeColor="text1"/>
          <w:spacing w:val="-4"/>
          <w:w w:val="105"/>
        </w:rPr>
      </w:pPr>
      <w:r w:rsidRPr="0000558E">
        <w:rPr>
          <w:color w:val="000000" w:themeColor="text1"/>
          <w:spacing w:val="-4"/>
          <w:w w:val="105"/>
        </w:rPr>
        <w:t>Revise and provide recommendations for student access, recruitment, persistence, retention, completion,</w:t>
      </w:r>
      <w:r w:rsidRPr="00143764">
        <w:rPr>
          <w:color w:val="000000" w:themeColor="text1"/>
          <w:spacing w:val="-4"/>
          <w:w w:val="105"/>
        </w:rPr>
        <w:t xml:space="preserve"> </w:t>
      </w:r>
      <w:r w:rsidRPr="0000558E">
        <w:rPr>
          <w:color w:val="000000" w:themeColor="text1"/>
          <w:spacing w:val="-4"/>
          <w:w w:val="105"/>
        </w:rPr>
        <w:t>transfer and lifelong learning</w:t>
      </w:r>
      <w:r w:rsidRPr="00143764">
        <w:rPr>
          <w:color w:val="000000" w:themeColor="text1"/>
          <w:spacing w:val="-4"/>
          <w:w w:val="105"/>
        </w:rPr>
        <w:t xml:space="preserve"> </w:t>
      </w:r>
      <w:r w:rsidRPr="0000558E">
        <w:rPr>
          <w:color w:val="000000" w:themeColor="text1"/>
          <w:spacing w:val="-4"/>
          <w:w w:val="105"/>
        </w:rPr>
        <w:t>through diverse programs</w:t>
      </w:r>
      <w:r w:rsidRPr="00143764">
        <w:rPr>
          <w:color w:val="000000" w:themeColor="text1"/>
          <w:spacing w:val="-4"/>
          <w:w w:val="105"/>
        </w:rPr>
        <w:t xml:space="preserve"> </w:t>
      </w:r>
      <w:r w:rsidRPr="0000558E">
        <w:rPr>
          <w:color w:val="000000" w:themeColor="text1"/>
          <w:spacing w:val="-4"/>
          <w:w w:val="105"/>
        </w:rPr>
        <w:t>and services.</w:t>
      </w:r>
    </w:p>
    <w:p w14:paraId="57B98D6A" w14:textId="5509EB32" w:rsidR="00C40680" w:rsidRPr="00C40680" w:rsidRDefault="00C40680" w:rsidP="00C40680">
      <w:pPr>
        <w:pStyle w:val="ListParagraph"/>
        <w:numPr>
          <w:ilvl w:val="1"/>
          <w:numId w:val="4"/>
        </w:numPr>
        <w:rPr>
          <w:color w:val="000000" w:themeColor="text1"/>
          <w:spacing w:val="-4"/>
          <w:w w:val="105"/>
        </w:rPr>
      </w:pPr>
      <w:r>
        <w:t xml:space="preserve">Aligns with ACCJC Standards </w:t>
      </w:r>
      <w:r>
        <w:t>2.1, 2.5</w:t>
      </w:r>
    </w:p>
    <w:p w14:paraId="08C761D1" w14:textId="7B6C1050" w:rsidR="00904734" w:rsidRDefault="0000558E" w:rsidP="0000558E">
      <w:pPr>
        <w:pStyle w:val="ListParagraph"/>
        <w:numPr>
          <w:ilvl w:val="0"/>
          <w:numId w:val="4"/>
        </w:numPr>
        <w:rPr>
          <w:color w:val="000000" w:themeColor="text1"/>
          <w:spacing w:val="-4"/>
          <w:w w:val="105"/>
        </w:rPr>
      </w:pPr>
      <w:r w:rsidRPr="0000558E">
        <w:rPr>
          <w:color w:val="000000" w:themeColor="text1"/>
          <w:spacing w:val="-4"/>
          <w:w w:val="105"/>
        </w:rPr>
        <w:t>Disseminate information and recommend best-practices to optimize student success and</w:t>
      </w:r>
      <w:r>
        <w:rPr>
          <w:color w:val="000000" w:themeColor="text1"/>
          <w:spacing w:val="-4"/>
          <w:w w:val="105"/>
        </w:rPr>
        <w:t xml:space="preserve"> </w:t>
      </w:r>
      <w:r w:rsidRPr="0000558E">
        <w:rPr>
          <w:color w:val="000000" w:themeColor="text1"/>
          <w:spacing w:val="-4"/>
          <w:w w:val="105"/>
        </w:rPr>
        <w:t xml:space="preserve">timely completion based on the </w:t>
      </w:r>
      <w:r>
        <w:rPr>
          <w:color w:val="000000" w:themeColor="text1"/>
          <w:spacing w:val="-4"/>
          <w:w w:val="105"/>
        </w:rPr>
        <w:t>C</w:t>
      </w:r>
      <w:r w:rsidRPr="0000558E">
        <w:rPr>
          <w:color w:val="000000" w:themeColor="text1"/>
          <w:spacing w:val="-4"/>
          <w:w w:val="105"/>
        </w:rPr>
        <w:t>ollege’s priorities and community needs.</w:t>
      </w:r>
    </w:p>
    <w:p w14:paraId="5F8B0765" w14:textId="66AF22AF" w:rsidR="00C40680" w:rsidRPr="00C40680" w:rsidRDefault="00C40680" w:rsidP="00C40680">
      <w:pPr>
        <w:pStyle w:val="ListParagraph"/>
        <w:numPr>
          <w:ilvl w:val="1"/>
          <w:numId w:val="4"/>
        </w:numPr>
        <w:rPr>
          <w:color w:val="000000" w:themeColor="text1"/>
          <w:spacing w:val="-4"/>
          <w:w w:val="105"/>
        </w:rPr>
      </w:pPr>
      <w:r>
        <w:t>Aligns with ACCJC Standards 1.2, 1.3, 1.5</w:t>
      </w:r>
    </w:p>
    <w:p w14:paraId="6400495E" w14:textId="2928F095" w:rsidR="00904734" w:rsidRDefault="00904734" w:rsidP="00904734">
      <w:pPr>
        <w:pStyle w:val="Heading1"/>
      </w:pPr>
      <w:r>
        <w:t>Announcement</w:t>
      </w:r>
      <w:r w:rsidR="0000558E">
        <w:t>s</w:t>
      </w:r>
      <w:r>
        <w:t xml:space="preserve">: </w:t>
      </w:r>
    </w:p>
    <w:p w14:paraId="7A0B8F0F" w14:textId="0F38C7A6" w:rsidR="00904734" w:rsidRDefault="0000558E" w:rsidP="00904734">
      <w:pPr>
        <w:pStyle w:val="ListParagraph"/>
        <w:numPr>
          <w:ilvl w:val="0"/>
          <w:numId w:val="2"/>
        </w:numPr>
      </w:pPr>
      <w:r>
        <w:t xml:space="preserve">Faculty </w:t>
      </w:r>
      <w:r w:rsidR="007E1064">
        <w:t>representation</w:t>
      </w:r>
      <w:r>
        <w:t xml:space="preserve"> to EMC still </w:t>
      </w:r>
      <w:r w:rsidR="007E1064">
        <w:t>being sought for the following departments:</w:t>
      </w:r>
    </w:p>
    <w:p w14:paraId="2DB057D0" w14:textId="77777777" w:rsidR="0091068E" w:rsidRDefault="0091068E" w:rsidP="007E1064">
      <w:pPr>
        <w:pStyle w:val="ListParagraph"/>
        <w:numPr>
          <w:ilvl w:val="1"/>
          <w:numId w:val="2"/>
        </w:numPr>
        <w:sectPr w:rsidR="0091068E" w:rsidSect="00093CE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A81E3A" w14:textId="47E04957" w:rsidR="007E1064" w:rsidRDefault="007E1064" w:rsidP="007E1064">
      <w:pPr>
        <w:pStyle w:val="ListParagraph"/>
        <w:numPr>
          <w:ilvl w:val="1"/>
          <w:numId w:val="2"/>
        </w:numPr>
      </w:pPr>
      <w:r>
        <w:t>Agriculture</w:t>
      </w:r>
    </w:p>
    <w:p w14:paraId="49BC71FD" w14:textId="47ADEB25" w:rsidR="007E1064" w:rsidRDefault="007E1064" w:rsidP="007E1064">
      <w:pPr>
        <w:pStyle w:val="ListParagraph"/>
        <w:numPr>
          <w:ilvl w:val="1"/>
          <w:numId w:val="2"/>
        </w:numPr>
      </w:pPr>
      <w:r>
        <w:t>Applied Science &amp; Technology</w:t>
      </w:r>
    </w:p>
    <w:p w14:paraId="2C3BAD93" w14:textId="082E069D" w:rsidR="007E1064" w:rsidRDefault="007E1064" w:rsidP="007E1064">
      <w:pPr>
        <w:pStyle w:val="ListParagraph"/>
        <w:numPr>
          <w:ilvl w:val="1"/>
          <w:numId w:val="2"/>
        </w:numPr>
      </w:pPr>
      <w:r>
        <w:t>Art</w:t>
      </w:r>
    </w:p>
    <w:p w14:paraId="3978EFA0" w14:textId="7505DB09" w:rsidR="007E1064" w:rsidRDefault="007E1064" w:rsidP="007E1064">
      <w:pPr>
        <w:pStyle w:val="ListParagraph"/>
        <w:numPr>
          <w:ilvl w:val="1"/>
          <w:numId w:val="2"/>
        </w:numPr>
      </w:pPr>
      <w:r>
        <w:t>Biology</w:t>
      </w:r>
    </w:p>
    <w:p w14:paraId="2743D931" w14:textId="5DE37D2A" w:rsidR="007E1064" w:rsidRDefault="007E1064" w:rsidP="007E1064">
      <w:pPr>
        <w:pStyle w:val="ListParagraph"/>
        <w:numPr>
          <w:ilvl w:val="1"/>
          <w:numId w:val="2"/>
        </w:numPr>
      </w:pPr>
      <w:r>
        <w:t>Communication</w:t>
      </w:r>
    </w:p>
    <w:p w14:paraId="362CC978" w14:textId="14CE1EF0" w:rsidR="007E1064" w:rsidRDefault="007E1064" w:rsidP="007E1064">
      <w:pPr>
        <w:pStyle w:val="ListParagraph"/>
        <w:numPr>
          <w:ilvl w:val="1"/>
          <w:numId w:val="2"/>
        </w:numPr>
      </w:pPr>
      <w:r>
        <w:t>Engineering &amp; Information Technology</w:t>
      </w:r>
    </w:p>
    <w:p w14:paraId="1C899336" w14:textId="4EA64B65" w:rsidR="007E1064" w:rsidRDefault="007E1064" w:rsidP="007E1064">
      <w:pPr>
        <w:pStyle w:val="ListParagraph"/>
        <w:numPr>
          <w:ilvl w:val="1"/>
          <w:numId w:val="2"/>
        </w:numPr>
      </w:pPr>
      <w:r>
        <w:t>English</w:t>
      </w:r>
    </w:p>
    <w:p w14:paraId="1758B9EF" w14:textId="1CCACA7A" w:rsidR="007E1064" w:rsidRDefault="00D05E49" w:rsidP="007E1064">
      <w:pPr>
        <w:pStyle w:val="ListParagraph"/>
        <w:numPr>
          <w:ilvl w:val="1"/>
          <w:numId w:val="2"/>
        </w:numPr>
      </w:pPr>
      <w:r>
        <w:t>Foreign Language &amp; ASL</w:t>
      </w:r>
    </w:p>
    <w:p w14:paraId="7FFC4AFA" w14:textId="54836A66" w:rsidR="00D05E49" w:rsidRDefault="00D05E49" w:rsidP="00D05E49">
      <w:pPr>
        <w:pStyle w:val="ListParagraph"/>
        <w:numPr>
          <w:ilvl w:val="1"/>
          <w:numId w:val="2"/>
        </w:numPr>
      </w:pPr>
      <w:r>
        <w:t>Industrial Technology</w:t>
      </w:r>
    </w:p>
    <w:p w14:paraId="16BBA430" w14:textId="74F66709" w:rsidR="00D05E49" w:rsidRDefault="00D05E49" w:rsidP="00D05E49">
      <w:pPr>
        <w:pStyle w:val="ListParagraph"/>
        <w:numPr>
          <w:ilvl w:val="1"/>
          <w:numId w:val="2"/>
        </w:numPr>
      </w:pPr>
      <w:r>
        <w:t>Mathematics</w:t>
      </w:r>
    </w:p>
    <w:p w14:paraId="2A26DB08" w14:textId="3DC38FC3" w:rsidR="00D05E49" w:rsidRDefault="00D05E49" w:rsidP="00D05E49">
      <w:pPr>
        <w:pStyle w:val="ListParagraph"/>
        <w:numPr>
          <w:ilvl w:val="1"/>
          <w:numId w:val="2"/>
        </w:numPr>
      </w:pPr>
      <w:r>
        <w:t>Performing Arts</w:t>
      </w:r>
    </w:p>
    <w:p w14:paraId="57E6B1C2" w14:textId="7AFC87BF" w:rsidR="00D05E49" w:rsidRDefault="00D05E49" w:rsidP="00925B64">
      <w:pPr>
        <w:pStyle w:val="ListParagraph"/>
        <w:numPr>
          <w:ilvl w:val="1"/>
          <w:numId w:val="2"/>
        </w:numPr>
      </w:pPr>
      <w:r>
        <w:t>Philosophy</w:t>
      </w:r>
    </w:p>
    <w:p w14:paraId="61258B32" w14:textId="77777777" w:rsidR="0091068E" w:rsidRDefault="0091068E" w:rsidP="00904734">
      <w:pPr>
        <w:pStyle w:val="ListParagraph"/>
        <w:numPr>
          <w:ilvl w:val="0"/>
          <w:numId w:val="2"/>
        </w:numPr>
        <w:sectPr w:rsidR="0091068E" w:rsidSect="0091068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FAD229F" w14:textId="7E40B9C3" w:rsidR="00904734" w:rsidRDefault="00927EE9" w:rsidP="0091068E">
      <w:pPr>
        <w:pStyle w:val="ListParagraph"/>
        <w:numPr>
          <w:ilvl w:val="0"/>
          <w:numId w:val="2"/>
        </w:numPr>
      </w:pPr>
      <w:r>
        <w:t xml:space="preserve">Seeking to review, revise and implement an updated version of the College’s Strategic Enrollment </w:t>
      </w:r>
      <w:r w:rsidR="008A4AEB">
        <w:t>Management Plan, pending finalization of other College planning documents, such as Educational Master Plan and Strategic Directions.</w:t>
      </w:r>
    </w:p>
    <w:p w14:paraId="623B3B81" w14:textId="73050F37" w:rsidR="00371B7A" w:rsidRDefault="00371B7A" w:rsidP="0091068E">
      <w:pPr>
        <w:pStyle w:val="ListParagraph"/>
        <w:numPr>
          <w:ilvl w:val="0"/>
          <w:numId w:val="2"/>
        </w:numPr>
      </w:pPr>
      <w:r>
        <w:t xml:space="preserve">EMC Charge revisions are scheduled for a second read by </w:t>
      </w:r>
      <w:proofErr w:type="gramStart"/>
      <w:r>
        <w:t>College</w:t>
      </w:r>
      <w:proofErr w:type="gramEnd"/>
      <w:r>
        <w:t xml:space="preserve"> Council on March 1.</w:t>
      </w:r>
    </w:p>
    <w:p w14:paraId="7015F2D8" w14:textId="77777777" w:rsidR="00904734" w:rsidRDefault="00904734" w:rsidP="00904734">
      <w:pPr>
        <w:pStyle w:val="Heading1"/>
      </w:pPr>
      <w:r>
        <w:t>Completed Items:</w:t>
      </w:r>
    </w:p>
    <w:p w14:paraId="15123472" w14:textId="63229621" w:rsidR="00904734" w:rsidRDefault="00371B7A" w:rsidP="00904734">
      <w:pPr>
        <w:pStyle w:val="ListParagraph"/>
        <w:numPr>
          <w:ilvl w:val="0"/>
          <w:numId w:val="3"/>
        </w:numPr>
      </w:pPr>
      <w:r>
        <w:t xml:space="preserve">Review </w:t>
      </w:r>
      <w:r w:rsidR="00874774">
        <w:t xml:space="preserve">and discussion </w:t>
      </w:r>
      <w:r>
        <w:t>of fraudulent enrollment mitigation effort</w:t>
      </w:r>
      <w:r w:rsidR="00874774">
        <w:t>s at the college, district, and state levels</w:t>
      </w:r>
      <w:r w:rsidR="000D3CCA">
        <w:t xml:space="preserve">, including an upcoming CCCCO Tech Center webinar on Feb. 28 related to ‘Creating CCCIDs and Student </w:t>
      </w:r>
      <w:proofErr w:type="gramStart"/>
      <w:r w:rsidR="000D3CCA">
        <w:t>Accounts”</w:t>
      </w:r>
      <w:proofErr w:type="gramEnd"/>
    </w:p>
    <w:p w14:paraId="26E9C950" w14:textId="4FFC975D" w:rsidR="00904734" w:rsidRDefault="00874774" w:rsidP="00B91060">
      <w:pPr>
        <w:pStyle w:val="ListParagraph"/>
        <w:numPr>
          <w:ilvl w:val="0"/>
          <w:numId w:val="3"/>
        </w:numPr>
      </w:pPr>
      <w:r>
        <w:t xml:space="preserve">Discussion of the Student-Centered Funding Formula (SCFF) and its connections to enrollment management, </w:t>
      </w:r>
      <w:r w:rsidR="00B91060">
        <w:t>advising, and financial aid practices.</w:t>
      </w:r>
    </w:p>
    <w:p w14:paraId="71DCDA1A" w14:textId="77777777" w:rsidR="00904734" w:rsidRDefault="00904734" w:rsidP="00904734">
      <w:pPr>
        <w:pStyle w:val="Heading1"/>
      </w:pPr>
      <w:r>
        <w:t xml:space="preserve">Upcoming Items: </w:t>
      </w:r>
    </w:p>
    <w:p w14:paraId="0855D306" w14:textId="2483C1D2" w:rsidR="00904734" w:rsidRDefault="00B41006" w:rsidP="00904734">
      <w:pPr>
        <w:pStyle w:val="ListParagraph"/>
        <w:numPr>
          <w:ilvl w:val="0"/>
          <w:numId w:val="3"/>
        </w:numPr>
      </w:pPr>
      <w:r>
        <w:t>Next m</w:t>
      </w:r>
      <w:r w:rsidR="00D876E5">
        <w:t>eeting</w:t>
      </w:r>
      <w:r w:rsidR="007B1874">
        <w:t xml:space="preserve"> on March 14, 2024, 1:00-2:00 pm (CC-232)</w:t>
      </w:r>
    </w:p>
    <w:p w14:paraId="5F8D39FC" w14:textId="5EABDD66" w:rsidR="00904734" w:rsidRPr="00904734" w:rsidRDefault="00D876E5" w:rsidP="000D3CCA">
      <w:pPr>
        <w:pStyle w:val="ListParagraph"/>
        <w:numPr>
          <w:ilvl w:val="0"/>
          <w:numId w:val="3"/>
        </w:numPr>
      </w:pPr>
      <w:r>
        <w:t>SEM Plan</w:t>
      </w:r>
      <w:r w:rsidR="003A33CC">
        <w:t xml:space="preserve"> will be revisited in the future upon completion of other college strategic and planning documents.</w:t>
      </w:r>
    </w:p>
    <w:p w14:paraId="53558883" w14:textId="77777777" w:rsidR="00904734" w:rsidRDefault="00904734"/>
    <w:p w14:paraId="76498D37" w14:textId="77777777" w:rsidR="00F70A6B" w:rsidRPr="000D3CCA" w:rsidRDefault="00F70A6B" w:rsidP="00F70A6B">
      <w:pPr>
        <w:spacing w:after="0"/>
        <w:rPr>
          <w:i/>
          <w:iCs/>
        </w:rPr>
      </w:pPr>
      <w:r w:rsidRPr="000D3CCA">
        <w:rPr>
          <w:i/>
          <w:iCs/>
        </w:rPr>
        <w:t xml:space="preserve">Respectfully submitted, </w:t>
      </w:r>
    </w:p>
    <w:p w14:paraId="74D3061E" w14:textId="5FFC4C4E" w:rsidR="00F70A6B" w:rsidRDefault="00B41006" w:rsidP="00F70A6B">
      <w:pPr>
        <w:spacing w:after="0"/>
      </w:pPr>
      <w:r>
        <w:t>Dr. Erica Menchaca, Academic Senate President, and Acting EMC Faculty Co-Chair</w:t>
      </w:r>
    </w:p>
    <w:p w14:paraId="52BED003" w14:textId="20DB7D5F" w:rsidR="00904734" w:rsidRDefault="00904734" w:rsidP="00F70A6B">
      <w:pPr>
        <w:spacing w:after="0"/>
      </w:pPr>
    </w:p>
    <w:sectPr w:rsidR="00904734" w:rsidSect="009106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F05"/>
    <w:multiLevelType w:val="hybridMultilevel"/>
    <w:tmpl w:val="9080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184"/>
    <w:multiLevelType w:val="hybridMultilevel"/>
    <w:tmpl w:val="9B10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6E7"/>
    <w:multiLevelType w:val="hybridMultilevel"/>
    <w:tmpl w:val="8988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096D"/>
    <w:multiLevelType w:val="hybridMultilevel"/>
    <w:tmpl w:val="9FFC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90FCE"/>
    <w:multiLevelType w:val="hybridMultilevel"/>
    <w:tmpl w:val="116CC2AA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41A5565"/>
    <w:multiLevelType w:val="hybridMultilevel"/>
    <w:tmpl w:val="7B7E1462"/>
    <w:lvl w:ilvl="0" w:tplc="6E50905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9774A96E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2" w:tplc="7C4868E0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3" w:tplc="DECCD052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4" w:tplc="8C94707C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ABC662D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6" w:tplc="A6D4881C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3F8070AE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ar-SA"/>
      </w:rPr>
    </w:lvl>
    <w:lvl w:ilvl="8" w:tplc="41B05F40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num w:numId="1" w16cid:durableId="1020203890">
    <w:abstractNumId w:val="3"/>
  </w:num>
  <w:num w:numId="2" w16cid:durableId="1788960894">
    <w:abstractNumId w:val="0"/>
  </w:num>
  <w:num w:numId="3" w16cid:durableId="232858058">
    <w:abstractNumId w:val="1"/>
  </w:num>
  <w:num w:numId="4" w16cid:durableId="39985769">
    <w:abstractNumId w:val="2"/>
  </w:num>
  <w:num w:numId="5" w16cid:durableId="1584102925">
    <w:abstractNumId w:val="5"/>
  </w:num>
  <w:num w:numId="6" w16cid:durableId="291789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FD"/>
    <w:rsid w:val="0000558E"/>
    <w:rsid w:val="00093CE2"/>
    <w:rsid w:val="000D3CCA"/>
    <w:rsid w:val="00371B7A"/>
    <w:rsid w:val="003A33CC"/>
    <w:rsid w:val="003C145A"/>
    <w:rsid w:val="006236A0"/>
    <w:rsid w:val="007659FD"/>
    <w:rsid w:val="007B1874"/>
    <w:rsid w:val="007E1064"/>
    <w:rsid w:val="00874774"/>
    <w:rsid w:val="008A4AEB"/>
    <w:rsid w:val="00904734"/>
    <w:rsid w:val="0091068E"/>
    <w:rsid w:val="00925B64"/>
    <w:rsid w:val="00927EE9"/>
    <w:rsid w:val="00A66E7D"/>
    <w:rsid w:val="00B41006"/>
    <w:rsid w:val="00B91060"/>
    <w:rsid w:val="00C40680"/>
    <w:rsid w:val="00C85E89"/>
    <w:rsid w:val="00D05E49"/>
    <w:rsid w:val="00D60577"/>
    <w:rsid w:val="00D876E5"/>
    <w:rsid w:val="00DB1B10"/>
    <w:rsid w:val="00F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0AE7"/>
  <w15:chartTrackingRefBased/>
  <w15:docId w15:val="{CDBD41BF-F003-4A6C-903F-B1063C43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73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04734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04734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04734"/>
    <w:pPr>
      <w:ind w:left="720"/>
      <w:contextualSpacing/>
    </w:pPr>
  </w:style>
  <w:style w:type="paragraph" w:customStyle="1" w:styleId="Default">
    <w:name w:val="Default"/>
    <w:rsid w:val="00F70A6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85E8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58E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8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ch\OneDrive\Academic%20Senate\Committee%20of%20CoChairs\Committee%20Report%20to%20Academic%20Senate%20with%20date%20Template.dotx" TargetMode="External"/></Relationships>
</file>

<file path=word/theme/theme1.xml><?xml version="1.0" encoding="utf-8"?>
<a:theme xmlns:a="http://schemas.openxmlformats.org/drawingml/2006/main" name="Office Theme">
  <a:themeElements>
    <a:clrScheme name="Bakersfield College">
      <a:dk1>
        <a:sysClr val="windowText" lastClr="000000"/>
      </a:dk1>
      <a:lt1>
        <a:sysClr val="window" lastClr="FFFFFF"/>
      </a:lt1>
      <a:dk2>
        <a:srgbClr val="700025"/>
      </a:dk2>
      <a:lt2>
        <a:srgbClr val="E7E6E6"/>
      </a:lt2>
      <a:accent1>
        <a:srgbClr val="C00000"/>
      </a:accent1>
      <a:accent2>
        <a:srgbClr val="000000"/>
      </a:accent2>
      <a:accent3>
        <a:srgbClr val="808080"/>
      </a:accent3>
      <a:accent4>
        <a:srgbClr val="A50021"/>
      </a:accent4>
      <a:accent5>
        <a:srgbClr val="C0C0C0"/>
      </a:accent5>
      <a:accent6>
        <a:srgbClr val="FF6D6D"/>
      </a:accent6>
      <a:hlink>
        <a:srgbClr val="E6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Committee Report to Academic Senate with date Template</Template>
  <TotalTime>62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Report to the Academic Senate DATE TEMPLATE</dc:title>
  <dc:subject/>
  <dc:creator>E M</dc:creator>
  <cp:keywords/>
  <dc:description/>
  <cp:lastModifiedBy>Emmanuel Mourtzanos</cp:lastModifiedBy>
  <cp:revision>19</cp:revision>
  <dcterms:created xsi:type="dcterms:W3CDTF">2024-02-27T18:06:00Z</dcterms:created>
  <dcterms:modified xsi:type="dcterms:W3CDTF">2024-02-27T19:14:00Z</dcterms:modified>
</cp:coreProperties>
</file>