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2F45" w:rsidRDefault="00352F45" w:rsidP="00352F45">
      <w:pPr>
        <w:ind w:left="-270" w:firstLine="27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9530E" wp14:editId="5945563C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9436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F45" w:rsidRPr="00830BDC" w:rsidRDefault="00352F45" w:rsidP="00352F45">
                            <w:pPr>
                              <w:rPr>
                                <w:b/>
                                <w:color w:val="808080" w:themeColor="background1" w:themeShade="8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36"/>
                              </w:rPr>
                              <w:t xml:space="preserve">BC </w:t>
                            </w:r>
                            <w:r w:rsidRPr="00830BDC">
                              <w:rPr>
                                <w:b/>
                                <w:color w:val="808080" w:themeColor="background1" w:themeShade="80"/>
                                <w:sz w:val="36"/>
                              </w:rPr>
                              <w:t>CAMPUS MASTER PLANNING CONCEPTS</w:t>
                            </w:r>
                          </w:p>
                          <w:p w:rsidR="00352F45" w:rsidRDefault="00352F45" w:rsidP="00352F45">
                            <w:pPr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830BDC">
                              <w:rPr>
                                <w:color w:val="808080" w:themeColor="background1" w:themeShade="80"/>
                                <w:sz w:val="22"/>
                              </w:rPr>
                              <w:t>With a focus on: Student Life-Cycle, Student Success &amp; Center of Campus Aesthetics</w:t>
                            </w:r>
                          </w:p>
                          <w:p w:rsidR="00352F45" w:rsidRPr="00352F45" w:rsidRDefault="00352F45" w:rsidP="00352F45">
                            <w:pPr>
                              <w:rPr>
                                <w:color w:val="808080" w:themeColor="background1" w:themeShade="80"/>
                                <w:sz w:val="10"/>
                              </w:rPr>
                            </w:pPr>
                          </w:p>
                          <w:p w:rsidR="00352F45" w:rsidRPr="00352F45" w:rsidRDefault="00352F45" w:rsidP="00352F45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352F45">
                              <w:rPr>
                                <w:rFonts w:asciiTheme="majorHAnsi" w:hAnsiTheme="majorHAnsi"/>
                                <w:sz w:val="20"/>
                              </w:rPr>
                              <w:t>Recommendation by: SALT, February 2014</w:t>
                            </w:r>
                            <w:r w:rsidRPr="00352F45">
                              <w:rPr>
                                <w:rFonts w:asciiTheme="majorHAnsi" w:hAnsiTheme="majorHAnsi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pt;margin-top:9pt;width:468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" filled="f" stroked="f">
                <v:textbox>
                  <w:txbxContent>
                    <w:p w:rsidR="00352F45" w:rsidRPr="00830BDC" w:rsidRDefault="00352F45" w:rsidP="00352F45">
                      <w:pPr>
                        <w:rPr>
                          <w:b/>
                          <w:color w:val="808080" w:themeColor="background1" w:themeShade="80"/>
                          <w:sz w:val="36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36"/>
                        </w:rPr>
                        <w:t xml:space="preserve">BC </w:t>
                      </w:r>
                      <w:r w:rsidRPr="00830BDC">
                        <w:rPr>
                          <w:b/>
                          <w:color w:val="808080" w:themeColor="background1" w:themeShade="80"/>
                          <w:sz w:val="36"/>
                        </w:rPr>
                        <w:t>CAMPUS MASTER PLANNING CONCEPTS</w:t>
                      </w:r>
                    </w:p>
                    <w:p w:rsidR="00352F45" w:rsidRDefault="00352F45" w:rsidP="00352F45">
                      <w:pPr>
                        <w:rPr>
                          <w:color w:val="808080" w:themeColor="background1" w:themeShade="80"/>
                          <w:sz w:val="22"/>
                        </w:rPr>
                      </w:pPr>
                      <w:r w:rsidRPr="00830BDC">
                        <w:rPr>
                          <w:color w:val="808080" w:themeColor="background1" w:themeShade="80"/>
                          <w:sz w:val="22"/>
                        </w:rPr>
                        <w:t>With a focus on: Student Life-Cycle, Student Success &amp; Center of Campus Aesthetics</w:t>
                      </w:r>
                    </w:p>
                    <w:p w:rsidR="00352F45" w:rsidRPr="00352F45" w:rsidRDefault="00352F45" w:rsidP="00352F45">
                      <w:pPr>
                        <w:rPr>
                          <w:color w:val="808080" w:themeColor="background1" w:themeShade="80"/>
                          <w:sz w:val="10"/>
                        </w:rPr>
                      </w:pPr>
                    </w:p>
                    <w:p w:rsidR="00352F45" w:rsidRPr="00352F45" w:rsidRDefault="00352F45" w:rsidP="00352F45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352F45">
                        <w:rPr>
                          <w:rFonts w:asciiTheme="majorHAnsi" w:hAnsiTheme="majorHAnsi"/>
                          <w:sz w:val="20"/>
                        </w:rPr>
                        <w:t>Recommendation by: SALT, February 2014</w:t>
                      </w:r>
                      <w:r w:rsidRPr="00352F45">
                        <w:rPr>
                          <w:rFonts w:asciiTheme="majorHAnsi" w:hAnsiTheme="majorHAnsi"/>
                          <w:sz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333D" w:rsidRPr="004F5AFF">
        <w:rPr>
          <w:b/>
        </w:rPr>
        <w:t xml:space="preserve"> </w:t>
      </w:r>
      <w:r>
        <w:rPr>
          <w:b/>
        </w:rPr>
        <w:tab/>
      </w:r>
    </w:p>
    <w:p w:rsidR="00352F45" w:rsidRDefault="00352F45" w:rsidP="00352F45">
      <w:pPr>
        <w:ind w:left="-270" w:firstLine="990"/>
        <w:rPr>
          <w:b/>
        </w:rPr>
      </w:pPr>
    </w:p>
    <w:p w:rsidR="00352F45" w:rsidRDefault="00352F45" w:rsidP="00352F45">
      <w:pPr>
        <w:ind w:left="-270" w:firstLine="990"/>
        <w:rPr>
          <w:b/>
        </w:rPr>
      </w:pPr>
    </w:p>
    <w:p w:rsidR="00352F45" w:rsidRDefault="00352F45" w:rsidP="00352F45">
      <w:pPr>
        <w:ind w:left="-270" w:firstLine="990"/>
        <w:rPr>
          <w:b/>
        </w:rPr>
      </w:pPr>
    </w:p>
    <w:p w:rsidR="00352F45" w:rsidRDefault="00352F45" w:rsidP="00352F45">
      <w:pPr>
        <w:ind w:left="-270" w:firstLine="990"/>
        <w:rPr>
          <w:b/>
        </w:rPr>
      </w:pPr>
    </w:p>
    <w:p w:rsidR="00352F45" w:rsidRDefault="00352F45" w:rsidP="00352F45">
      <w:pPr>
        <w:ind w:left="-270" w:firstLine="990"/>
        <w:rPr>
          <w:b/>
        </w:rPr>
      </w:pPr>
    </w:p>
    <w:p w:rsidR="00BD4131" w:rsidRPr="004F5AFF" w:rsidRDefault="00BC333D" w:rsidP="00352F45">
      <w:pPr>
        <w:ind w:left="-270" w:firstLine="990"/>
        <w:rPr>
          <w:b/>
        </w:rPr>
      </w:pPr>
      <w:r w:rsidRPr="004F5AFF">
        <w:rPr>
          <w:b/>
        </w:rPr>
        <w:t>FRONT END SERVICES – In Current Admin Building</w:t>
      </w:r>
    </w:p>
    <w:p w:rsidR="004F5AFF" w:rsidRDefault="004F5AFF">
      <w:pPr>
        <w:rPr>
          <w:rFonts w:ascii="Avenir Black" w:hAnsi="Avenir Black"/>
        </w:rPr>
      </w:pPr>
    </w:p>
    <w:p w:rsidR="00930AF1" w:rsidRDefault="00930AF1">
      <w:pPr>
        <w:rPr>
          <w:b/>
        </w:rPr>
      </w:pPr>
    </w:p>
    <w:tbl>
      <w:tblPr>
        <w:tblStyle w:val="ColorfulList-Accent2"/>
        <w:tblpPr w:leftFromText="180" w:rightFromText="180" w:vertAnchor="page" w:horzAnchor="page" w:tblpX="1729" w:tblpY="2701"/>
        <w:tblW w:w="0" w:type="auto"/>
        <w:tblLook w:val="04A0" w:firstRow="1" w:lastRow="0" w:firstColumn="1" w:lastColumn="0" w:noHBand="0" w:noVBand="1"/>
      </w:tblPr>
      <w:tblGrid>
        <w:gridCol w:w="2535"/>
        <w:gridCol w:w="2887"/>
        <w:gridCol w:w="3434"/>
      </w:tblGrid>
      <w:tr w:rsidR="00352F45" w:rsidTr="00352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52F45" w:rsidRPr="00625A35" w:rsidRDefault="00352F45" w:rsidP="00352F45">
            <w:pPr>
              <w:ind w:left="-90"/>
              <w:rPr>
                <w:rFonts w:asciiTheme="majorHAnsi" w:hAnsiTheme="majorHAnsi"/>
                <w:sz w:val="22"/>
              </w:rPr>
            </w:pPr>
            <w:r w:rsidRPr="00625A35">
              <w:rPr>
                <w:rFonts w:asciiTheme="majorHAnsi" w:hAnsiTheme="majorHAnsi"/>
                <w:sz w:val="22"/>
              </w:rPr>
              <w:t>Conceptual Foundations</w:t>
            </w:r>
          </w:p>
        </w:tc>
        <w:tc>
          <w:tcPr>
            <w:tcW w:w="2887" w:type="dxa"/>
          </w:tcPr>
          <w:p w:rsidR="00352F45" w:rsidRPr="00625A35" w:rsidRDefault="00352F45" w:rsidP="00352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</w:rPr>
            </w:pPr>
            <w:r w:rsidRPr="00625A35">
              <w:rPr>
                <w:rFonts w:asciiTheme="majorHAnsi" w:hAnsiTheme="majorHAnsi"/>
                <w:sz w:val="22"/>
              </w:rPr>
              <w:t>Functionality</w:t>
            </w:r>
          </w:p>
        </w:tc>
        <w:tc>
          <w:tcPr>
            <w:tcW w:w="3434" w:type="dxa"/>
          </w:tcPr>
          <w:p w:rsidR="00352F45" w:rsidRPr="00625A35" w:rsidRDefault="00352F45" w:rsidP="00352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</w:rPr>
            </w:pPr>
            <w:r w:rsidRPr="00625A35">
              <w:rPr>
                <w:rFonts w:asciiTheme="majorHAnsi" w:hAnsiTheme="majorHAnsi"/>
                <w:sz w:val="22"/>
              </w:rPr>
              <w:t>Services/Departments</w:t>
            </w:r>
          </w:p>
        </w:tc>
      </w:tr>
      <w:tr w:rsidR="00352F45" w:rsidTr="0035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 w:val="0"/>
                <w:sz w:val="18"/>
              </w:rPr>
            </w:pPr>
            <w:r w:rsidRPr="005D6A16">
              <w:rPr>
                <w:rFonts w:asciiTheme="majorHAnsi" w:hAnsiTheme="majorHAnsi"/>
                <w:b w:val="0"/>
                <w:sz w:val="18"/>
              </w:rPr>
              <w:t>Welcoming, open plan, vaulted ceiling at foyer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 w:val="0"/>
                <w:sz w:val="18"/>
              </w:rPr>
            </w:pPr>
            <w:r w:rsidRPr="005D6A16">
              <w:rPr>
                <w:rFonts w:asciiTheme="majorHAnsi" w:hAnsiTheme="majorHAnsi"/>
                <w:b w:val="0"/>
                <w:sz w:val="18"/>
              </w:rPr>
              <w:t>Focal point as “gateway”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 w:val="0"/>
                <w:sz w:val="18"/>
              </w:rPr>
            </w:pPr>
            <w:r w:rsidRPr="005D6A16">
              <w:rPr>
                <w:rFonts w:asciiTheme="majorHAnsi" w:hAnsiTheme="majorHAnsi"/>
                <w:b w:val="0"/>
                <w:sz w:val="18"/>
              </w:rPr>
              <w:t>No fragmented departments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 w:val="0"/>
                <w:sz w:val="18"/>
              </w:rPr>
            </w:pPr>
            <w:r w:rsidRPr="005D6A16">
              <w:rPr>
                <w:rFonts w:asciiTheme="majorHAnsi" w:hAnsiTheme="majorHAnsi"/>
                <w:b w:val="0"/>
                <w:sz w:val="18"/>
              </w:rPr>
              <w:t>Common spaces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 w:val="0"/>
                <w:sz w:val="18"/>
              </w:rPr>
            </w:pPr>
            <w:r w:rsidRPr="005D6A16">
              <w:rPr>
                <w:rFonts w:asciiTheme="majorHAnsi" w:hAnsiTheme="majorHAnsi"/>
                <w:b w:val="0"/>
                <w:sz w:val="18"/>
              </w:rPr>
              <w:t>Multimedia rich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 w:val="0"/>
                <w:sz w:val="18"/>
              </w:rPr>
            </w:pPr>
            <w:r w:rsidRPr="005D6A16">
              <w:rPr>
                <w:rFonts w:asciiTheme="majorHAnsi" w:hAnsiTheme="majorHAnsi"/>
                <w:b w:val="0"/>
                <w:sz w:val="18"/>
              </w:rPr>
              <w:t>Visually seamless, yet discrete areas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Cs w:val="0"/>
                <w:sz w:val="18"/>
              </w:rPr>
            </w:pPr>
            <w:r w:rsidRPr="005D6A16">
              <w:rPr>
                <w:rFonts w:asciiTheme="majorHAnsi" w:hAnsiTheme="majorHAnsi"/>
                <w:b w:val="0"/>
                <w:sz w:val="18"/>
              </w:rPr>
              <w:t>Common passageways (flow)</w:t>
            </w:r>
          </w:p>
          <w:p w:rsidR="00352F45" w:rsidRPr="005D6A16" w:rsidRDefault="00352F45" w:rsidP="00352F45">
            <w:pPr>
              <w:rPr>
                <w:sz w:val="18"/>
              </w:rPr>
            </w:pPr>
          </w:p>
        </w:tc>
        <w:tc>
          <w:tcPr>
            <w:tcW w:w="2887" w:type="dxa"/>
          </w:tcPr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 xml:space="preserve">Large waiting space 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100 – 150 students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computer stations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Multimedia theater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Computer lab (50 students)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Meeting rooms (x2) (10-15 persons for workshops, etc)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Information “hub”</w:t>
            </w:r>
          </w:p>
        </w:tc>
        <w:tc>
          <w:tcPr>
            <w:tcW w:w="3434" w:type="dxa"/>
          </w:tcPr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Welcome Center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Campus tour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 xml:space="preserve">Information 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Admissions &amp; Records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Incl Admissions Counseling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Orientation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Financial Aid &amp; Scholarship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Workshop rooms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Outreach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Ambassadors</w:t>
            </w:r>
          </w:p>
          <w:p w:rsidR="00352F45" w:rsidRPr="005D6A16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5D6A16">
              <w:rPr>
                <w:rFonts w:asciiTheme="majorHAnsi" w:hAnsiTheme="majorHAnsi"/>
                <w:sz w:val="18"/>
              </w:rPr>
              <w:t>Cashiering &amp; Student Accounts</w:t>
            </w:r>
          </w:p>
        </w:tc>
      </w:tr>
      <w:tr w:rsidR="00352F45" w:rsidTr="00352F45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3"/>
          </w:tcPr>
          <w:p w:rsidR="00352F45" w:rsidRPr="00FC2C76" w:rsidRDefault="00352F45" w:rsidP="00352F45">
            <w:pPr>
              <w:spacing w:after="24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OPTION:   Space needs might require an expansion of the current foyer in Admin Bldg by adding on a small addition/building.  If so, one option is to locate </w:t>
            </w:r>
            <w:r w:rsidRPr="00E12E47">
              <w:rPr>
                <w:rFonts w:asciiTheme="majorHAnsi" w:hAnsiTheme="majorHAnsi"/>
              </w:rPr>
              <w:t xml:space="preserve">BC Executive Offices/Suite </w:t>
            </w:r>
            <w:r>
              <w:rPr>
                <w:rFonts w:asciiTheme="majorHAnsi" w:hAnsiTheme="majorHAnsi"/>
                <w:sz w:val="20"/>
              </w:rPr>
              <w:t>in an upper floor</w:t>
            </w:r>
          </w:p>
        </w:tc>
      </w:tr>
    </w:tbl>
    <w:p w:rsidR="00930AF1" w:rsidRDefault="00930AF1">
      <w:pPr>
        <w:rPr>
          <w:b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tbl>
      <w:tblPr>
        <w:tblStyle w:val="ColorfulList-Accent2"/>
        <w:tblpPr w:leftFromText="180" w:rightFromText="180" w:vertAnchor="page" w:horzAnchor="page" w:tblpX="1729" w:tblpY="7561"/>
        <w:tblW w:w="8856" w:type="dxa"/>
        <w:tblLook w:val="04A0" w:firstRow="1" w:lastRow="0" w:firstColumn="1" w:lastColumn="0" w:noHBand="0" w:noVBand="1"/>
      </w:tblPr>
      <w:tblGrid>
        <w:gridCol w:w="2535"/>
        <w:gridCol w:w="2887"/>
        <w:gridCol w:w="3434"/>
      </w:tblGrid>
      <w:tr w:rsidR="00352F45" w:rsidTr="00352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shd w:val="clear" w:color="auto" w:fill="244061" w:themeFill="accent1" w:themeFillShade="80"/>
          </w:tcPr>
          <w:p w:rsidR="00352F45" w:rsidRPr="00625A35" w:rsidRDefault="00352F45" w:rsidP="00352F45">
            <w:pPr>
              <w:ind w:left="-90"/>
              <w:rPr>
                <w:rFonts w:asciiTheme="majorHAnsi" w:hAnsiTheme="majorHAnsi"/>
                <w:sz w:val="22"/>
              </w:rPr>
            </w:pPr>
            <w:r w:rsidRPr="00625A35">
              <w:rPr>
                <w:rFonts w:asciiTheme="majorHAnsi" w:hAnsiTheme="majorHAnsi"/>
                <w:sz w:val="22"/>
              </w:rPr>
              <w:t>Conceptual Foundations</w:t>
            </w:r>
          </w:p>
        </w:tc>
        <w:tc>
          <w:tcPr>
            <w:tcW w:w="2887" w:type="dxa"/>
            <w:shd w:val="clear" w:color="auto" w:fill="244061" w:themeFill="accent1" w:themeFillShade="80"/>
          </w:tcPr>
          <w:p w:rsidR="00352F45" w:rsidRPr="00625A35" w:rsidRDefault="00352F45" w:rsidP="00352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</w:rPr>
            </w:pPr>
            <w:r w:rsidRPr="00625A35">
              <w:rPr>
                <w:rFonts w:asciiTheme="majorHAnsi" w:hAnsiTheme="majorHAnsi"/>
                <w:b w:val="0"/>
                <w:sz w:val="22"/>
              </w:rPr>
              <w:t>Functionality</w:t>
            </w:r>
          </w:p>
        </w:tc>
        <w:tc>
          <w:tcPr>
            <w:tcW w:w="3434" w:type="dxa"/>
            <w:shd w:val="clear" w:color="auto" w:fill="244061" w:themeFill="accent1" w:themeFillShade="80"/>
          </w:tcPr>
          <w:p w:rsidR="00352F45" w:rsidRPr="00625A35" w:rsidRDefault="00352F45" w:rsidP="00352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</w:rPr>
            </w:pPr>
            <w:r w:rsidRPr="00625A35">
              <w:rPr>
                <w:rFonts w:asciiTheme="majorHAnsi" w:hAnsiTheme="majorHAnsi"/>
                <w:b w:val="0"/>
                <w:sz w:val="22"/>
              </w:rPr>
              <w:t>Services/Departments</w:t>
            </w:r>
          </w:p>
        </w:tc>
      </w:tr>
      <w:tr w:rsidR="00352F45" w:rsidTr="0035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FFFFFF" w:themeColor="background1"/>
            </w:tcBorders>
            <w:shd w:val="clear" w:color="auto" w:fill="E0E0E0"/>
          </w:tcPr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 w:val="0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b w:val="0"/>
                <w:color w:val="1F497D" w:themeColor="text2"/>
                <w:sz w:val="20"/>
              </w:rPr>
              <w:t>Welcoming, open plan</w:t>
            </w:r>
          </w:p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 w:val="0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b w:val="0"/>
                <w:color w:val="1F497D" w:themeColor="text2"/>
                <w:sz w:val="20"/>
              </w:rPr>
              <w:t>Focal point as “Student Success and Support”</w:t>
            </w:r>
          </w:p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 w:val="0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b w:val="0"/>
                <w:color w:val="1F497D" w:themeColor="text2"/>
                <w:sz w:val="20"/>
              </w:rPr>
              <w:t>No fragmented departments</w:t>
            </w:r>
          </w:p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 w:val="0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b w:val="0"/>
                <w:color w:val="1F497D" w:themeColor="text2"/>
                <w:sz w:val="20"/>
              </w:rPr>
              <w:t>Multimedia rich</w:t>
            </w:r>
          </w:p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 w:val="0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b w:val="0"/>
                <w:color w:val="1F497D" w:themeColor="text2"/>
                <w:sz w:val="20"/>
              </w:rPr>
              <w:t>Visually seamless, yet discrete areas</w:t>
            </w:r>
          </w:p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Theme="majorHAnsi" w:hAnsiTheme="majorHAnsi"/>
                <w:bCs w:val="0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b w:val="0"/>
                <w:color w:val="1F497D" w:themeColor="text2"/>
                <w:sz w:val="20"/>
              </w:rPr>
              <w:t>Common passageways (flow)</w:t>
            </w:r>
          </w:p>
          <w:p w:rsidR="00352F45" w:rsidRPr="004F5AFF" w:rsidRDefault="00352F45" w:rsidP="00352F45">
            <w:pPr>
              <w:rPr>
                <w:b w:val="0"/>
                <w:bCs w:val="0"/>
                <w:color w:val="1F497D" w:themeColor="text2"/>
              </w:rPr>
            </w:pPr>
          </w:p>
          <w:p w:rsidR="00352F45" w:rsidRPr="004F5AFF" w:rsidRDefault="00352F45" w:rsidP="00352F45">
            <w:pPr>
              <w:rPr>
                <w:color w:val="1F497D" w:themeColor="text2"/>
              </w:rPr>
            </w:pPr>
          </w:p>
          <w:p w:rsidR="00352F45" w:rsidRPr="004F5AFF" w:rsidRDefault="00352F45" w:rsidP="00352F45">
            <w:pPr>
              <w:rPr>
                <w:color w:val="1F497D" w:themeColor="text2"/>
              </w:rPr>
            </w:pPr>
          </w:p>
          <w:p w:rsidR="00352F45" w:rsidRPr="004F5AFF" w:rsidRDefault="00352F45" w:rsidP="00352F45">
            <w:pPr>
              <w:rPr>
                <w:b w:val="0"/>
                <w:bCs w:val="0"/>
                <w:color w:val="1F497D" w:themeColor="text2"/>
              </w:rPr>
            </w:pPr>
          </w:p>
          <w:p w:rsidR="00352F45" w:rsidRPr="004F5AFF" w:rsidRDefault="00352F45" w:rsidP="00352F45">
            <w:pPr>
              <w:jc w:val="right"/>
              <w:rPr>
                <w:color w:val="1F497D" w:themeColor="text2"/>
              </w:rPr>
            </w:pPr>
          </w:p>
        </w:tc>
        <w:tc>
          <w:tcPr>
            <w:tcW w:w="2887" w:type="dxa"/>
            <w:tcBorders>
              <w:top w:val="single" w:sz="12" w:space="0" w:color="FFFFFF" w:themeColor="background1"/>
            </w:tcBorders>
            <w:shd w:val="clear" w:color="auto" w:fill="E0E0E0"/>
          </w:tcPr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color w:val="1F497D" w:themeColor="text2"/>
                <w:sz w:val="20"/>
              </w:rPr>
              <w:t xml:space="preserve">Large waiting spaces in each zone/area </w:t>
            </w:r>
          </w:p>
          <w:p w:rsidR="00352F45" w:rsidRPr="004F5AFF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18"/>
              </w:rPr>
            </w:pPr>
            <w:r w:rsidRPr="004F5AFF">
              <w:rPr>
                <w:rFonts w:asciiTheme="majorHAnsi" w:hAnsiTheme="majorHAnsi"/>
                <w:color w:val="1F497D" w:themeColor="text2"/>
                <w:sz w:val="18"/>
              </w:rPr>
              <w:t>50 - 100 students</w:t>
            </w:r>
          </w:p>
          <w:p w:rsidR="00352F45" w:rsidRPr="004F5AFF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18"/>
              </w:rPr>
            </w:pPr>
            <w:r w:rsidRPr="004F5AFF">
              <w:rPr>
                <w:rFonts w:asciiTheme="majorHAnsi" w:hAnsiTheme="majorHAnsi"/>
                <w:color w:val="1F497D" w:themeColor="text2"/>
                <w:sz w:val="18"/>
              </w:rPr>
              <w:t>computer stations</w:t>
            </w:r>
          </w:p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color w:val="1F497D" w:themeColor="text2"/>
                <w:sz w:val="20"/>
              </w:rPr>
              <w:t>Computer lab</w:t>
            </w:r>
            <w:r w:rsidR="00023380">
              <w:rPr>
                <w:rFonts w:asciiTheme="majorHAnsi" w:hAnsiTheme="majorHAnsi"/>
                <w:color w:val="1F497D" w:themeColor="text2"/>
                <w:sz w:val="20"/>
              </w:rPr>
              <w:t>s</w:t>
            </w:r>
            <w:r w:rsidRPr="004F5AFF">
              <w:rPr>
                <w:rFonts w:asciiTheme="majorHAnsi" w:hAnsiTheme="majorHAnsi"/>
                <w:color w:val="1F497D" w:themeColor="text2"/>
                <w:sz w:val="20"/>
              </w:rPr>
              <w:t xml:space="preserve"> (50 students)</w:t>
            </w:r>
          </w:p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color w:val="1F497D" w:themeColor="text2"/>
                <w:sz w:val="20"/>
              </w:rPr>
              <w:t>Meeting rooms (15-25 persons for workshops, etc)</w:t>
            </w:r>
          </w:p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color w:val="1F497D" w:themeColor="text2"/>
                <w:sz w:val="20"/>
              </w:rPr>
              <w:t xml:space="preserve">Triage Services/Counter </w:t>
            </w:r>
          </w:p>
        </w:tc>
        <w:tc>
          <w:tcPr>
            <w:tcW w:w="3434" w:type="dxa"/>
            <w:tcBorders>
              <w:top w:val="single" w:sz="12" w:space="0" w:color="FFFFFF" w:themeColor="background1"/>
            </w:tcBorders>
            <w:shd w:val="clear" w:color="auto" w:fill="E0E0E0"/>
          </w:tcPr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color w:val="1F497D" w:themeColor="text2"/>
                <w:sz w:val="20"/>
              </w:rPr>
              <w:t>Assessment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18"/>
              </w:rPr>
            </w:pPr>
            <w:r w:rsidRPr="005D6A16">
              <w:rPr>
                <w:rFonts w:asciiTheme="majorHAnsi" w:hAnsiTheme="majorHAnsi"/>
                <w:color w:val="1F497D" w:themeColor="text2"/>
                <w:sz w:val="18"/>
              </w:rPr>
              <w:t>Testing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18"/>
              </w:rPr>
            </w:pPr>
            <w:r w:rsidRPr="005D6A16">
              <w:rPr>
                <w:rFonts w:asciiTheme="majorHAnsi" w:hAnsiTheme="majorHAnsi"/>
                <w:color w:val="1F497D" w:themeColor="text2"/>
                <w:sz w:val="18"/>
              </w:rPr>
              <w:t>Accommodations</w:t>
            </w:r>
          </w:p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color w:val="1F497D" w:themeColor="text2"/>
                <w:sz w:val="20"/>
              </w:rPr>
              <w:t>DSPS &amp; Workability</w:t>
            </w:r>
          </w:p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color w:val="1F497D" w:themeColor="text2"/>
                <w:sz w:val="20"/>
              </w:rPr>
              <w:t>EOPS/CARE/CALW</w:t>
            </w:r>
          </w:p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color w:val="1F497D" w:themeColor="text2"/>
                <w:sz w:val="20"/>
              </w:rPr>
              <w:t>International Student Center</w:t>
            </w:r>
          </w:p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color w:val="1F497D" w:themeColor="text2"/>
                <w:sz w:val="20"/>
              </w:rPr>
              <w:t>Advising and Counseling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18"/>
              </w:rPr>
            </w:pPr>
            <w:r w:rsidRPr="005D6A16">
              <w:rPr>
                <w:rFonts w:asciiTheme="majorHAnsi" w:hAnsiTheme="majorHAnsi"/>
                <w:color w:val="1F497D" w:themeColor="text2"/>
                <w:sz w:val="18"/>
              </w:rPr>
              <w:t>Career Center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18"/>
              </w:rPr>
            </w:pPr>
            <w:r w:rsidRPr="005D6A16">
              <w:rPr>
                <w:rFonts w:asciiTheme="majorHAnsi" w:hAnsiTheme="majorHAnsi"/>
                <w:color w:val="1F497D" w:themeColor="text2"/>
                <w:sz w:val="18"/>
              </w:rPr>
              <w:t>Transfer Center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18"/>
              </w:rPr>
            </w:pPr>
            <w:r w:rsidRPr="005D6A16">
              <w:rPr>
                <w:rFonts w:asciiTheme="majorHAnsi" w:hAnsiTheme="majorHAnsi"/>
                <w:color w:val="1F497D" w:themeColor="text2"/>
                <w:sz w:val="18"/>
              </w:rPr>
              <w:t>Peer Mentoring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18"/>
              </w:rPr>
            </w:pPr>
            <w:r w:rsidRPr="005D6A16">
              <w:rPr>
                <w:rFonts w:asciiTheme="majorHAnsi" w:hAnsiTheme="majorHAnsi"/>
                <w:color w:val="1F497D" w:themeColor="text2"/>
                <w:sz w:val="18"/>
              </w:rPr>
              <w:t>Classroom (?)</w:t>
            </w:r>
          </w:p>
          <w:p w:rsidR="00352F45" w:rsidRPr="004F5AFF" w:rsidRDefault="00352F45" w:rsidP="00352F45">
            <w:pPr>
              <w:pStyle w:val="ListParagraph"/>
              <w:numPr>
                <w:ilvl w:val="0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</w:rPr>
            </w:pPr>
            <w:r w:rsidRPr="004F5AFF">
              <w:rPr>
                <w:rFonts w:asciiTheme="majorHAnsi" w:hAnsiTheme="majorHAnsi"/>
                <w:color w:val="1F497D" w:themeColor="text2"/>
                <w:sz w:val="20"/>
              </w:rPr>
              <w:t>Academic Success Programs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18"/>
              </w:rPr>
            </w:pPr>
            <w:r w:rsidRPr="005D6A16">
              <w:rPr>
                <w:rFonts w:asciiTheme="majorHAnsi" w:hAnsiTheme="majorHAnsi"/>
                <w:color w:val="1F497D" w:themeColor="text2"/>
                <w:sz w:val="18"/>
              </w:rPr>
              <w:t>Tutoring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18"/>
              </w:rPr>
            </w:pPr>
            <w:r w:rsidRPr="005D6A16">
              <w:rPr>
                <w:rFonts w:asciiTheme="majorHAnsi" w:hAnsiTheme="majorHAnsi"/>
                <w:color w:val="1F497D" w:themeColor="text2"/>
                <w:sz w:val="18"/>
              </w:rPr>
              <w:t>Writing Center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18"/>
              </w:rPr>
            </w:pPr>
            <w:r w:rsidRPr="005D6A16">
              <w:rPr>
                <w:rFonts w:asciiTheme="majorHAnsi" w:hAnsiTheme="majorHAnsi"/>
                <w:color w:val="1F497D" w:themeColor="text2"/>
                <w:sz w:val="18"/>
              </w:rPr>
              <w:t>Math Lab</w:t>
            </w:r>
          </w:p>
          <w:p w:rsidR="00352F45" w:rsidRPr="005D6A16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18"/>
              </w:rPr>
            </w:pPr>
            <w:r w:rsidRPr="005D6A16">
              <w:rPr>
                <w:rFonts w:asciiTheme="majorHAnsi" w:hAnsiTheme="majorHAnsi"/>
                <w:color w:val="1F497D" w:themeColor="text2"/>
                <w:sz w:val="18"/>
              </w:rPr>
              <w:t>SI</w:t>
            </w:r>
          </w:p>
          <w:p w:rsidR="00352F45" w:rsidRPr="004F5AFF" w:rsidRDefault="00352F45" w:rsidP="00352F45">
            <w:pPr>
              <w:pStyle w:val="ListParagraph"/>
              <w:numPr>
                <w:ilvl w:val="1"/>
                <w:numId w:val="1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F497D" w:themeColor="text2"/>
                <w:sz w:val="20"/>
              </w:rPr>
            </w:pPr>
            <w:r w:rsidRPr="005D6A16">
              <w:rPr>
                <w:rFonts w:asciiTheme="majorHAnsi" w:hAnsiTheme="majorHAnsi"/>
                <w:color w:val="1F497D" w:themeColor="text2"/>
                <w:sz w:val="18"/>
              </w:rPr>
              <w:t>etc</w:t>
            </w:r>
          </w:p>
        </w:tc>
      </w:tr>
      <w:tr w:rsidR="00352F45" w:rsidTr="00352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3"/>
          </w:tcPr>
          <w:p w:rsidR="00352F45" w:rsidRPr="00FC2C76" w:rsidRDefault="00352F45" w:rsidP="00352F45">
            <w:pPr>
              <w:spacing w:after="24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OPTION:   Some conceptual “linkage” with Front End Building</w:t>
            </w:r>
          </w:p>
        </w:tc>
      </w:tr>
    </w:tbl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5391B" wp14:editId="7BF54DBB">
                <wp:simplePos x="0" y="0"/>
                <wp:positionH relativeFrom="column">
                  <wp:posOffset>440055</wp:posOffset>
                </wp:positionH>
                <wp:positionV relativeFrom="paragraph">
                  <wp:posOffset>113030</wp:posOffset>
                </wp:positionV>
                <wp:extent cx="4817745" cy="2698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74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830BDC" w:rsidRDefault="00830BDC">
                            <w:pPr>
                              <w:rPr>
                                <w:noProof/>
                              </w:rPr>
                            </w:pPr>
                            <w:r w:rsidRPr="004F5AFF">
                              <w:rPr>
                                <w:b/>
                              </w:rPr>
                              <w:t>STUDENT SUCCESS &amp; ACADEMIC SUPPORT</w:t>
                            </w:r>
                            <w:r>
                              <w:rPr>
                                <w:b/>
                              </w:rPr>
                              <w:t xml:space="preserve"> – In Current SS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27" type="#_x0000_t202" style="position:absolute;margin-left:34.65pt;margin-top:8.9pt;width:379.35pt;height:21.2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" filled="f" stroked="f">
                <v:textbox style="mso-fit-shape-to-text:t">
                  <w:txbxContent>
                    <w:p w:rsidR="00830BDC" w:rsidRDefault="00830BDC">
                      <w:pPr>
                        <w:rPr>
                          <w:noProof/>
                        </w:rPr>
                      </w:pPr>
                      <w:r w:rsidRPr="004F5AFF">
                        <w:rPr>
                          <w:b/>
                        </w:rPr>
                        <w:t>STUDENT SUCCESS &amp; ACADEMIC SUPPORT</w:t>
                      </w:r>
                      <w:r>
                        <w:rPr>
                          <w:b/>
                        </w:rPr>
                        <w:t xml:space="preserve"> – In Current SS Building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6CDFC" wp14:editId="26A5701C">
                <wp:simplePos x="0" y="0"/>
                <wp:positionH relativeFrom="column">
                  <wp:posOffset>6057900</wp:posOffset>
                </wp:positionH>
                <wp:positionV relativeFrom="paragraph">
                  <wp:posOffset>32385</wp:posOffset>
                </wp:positionV>
                <wp:extent cx="228600" cy="1371600"/>
                <wp:effectExtent l="50800" t="25400" r="76200" b="101600"/>
                <wp:wrapThrough wrapText="bothSides">
                  <wp:wrapPolygon edited="0">
                    <wp:start x="-2400" y="-400"/>
                    <wp:lineTo x="-4800" y="800"/>
                    <wp:lineTo x="14400" y="6000"/>
                    <wp:lineTo x="14400" y="18800"/>
                    <wp:lineTo x="-4800" y="18800"/>
                    <wp:lineTo x="-4800" y="22800"/>
                    <wp:lineTo x="26400" y="22800"/>
                    <wp:lineTo x="26400" y="2000"/>
                    <wp:lineTo x="21600" y="-400"/>
                    <wp:lineTo x="12000" y="-400"/>
                    <wp:lineTo x="-2400" y="-400"/>
                  </wp:wrapPolygon>
                </wp:wrapThrough>
                <wp:docPr id="4" name="Right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71600"/>
                        </a:xfrm>
                        <a:prstGeom prst="rightBracke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86" coordsize="21600,21600" o:spt="86" adj="1800" path="m0,0qx21600@0l21600@1qy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4" o:spid="_x0000_s1026" type="#_x0000_t86" style="position:absolute;margin-left:477pt;margin-top:2.55pt;width:18pt;height:10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" adj="300" strokecolor="#4f81bd [3204]" strokeweight="2pt">
                <v:shadow on="t" opacity="24903f" mv:blur="40000f" origin=",.5" offset="0,20000emu"/>
                <w10:wrap type="through"/>
              </v:shape>
            </w:pict>
          </mc:Fallback>
        </mc:AlternateContent>
      </w: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>
      <w:pPr>
        <w:rPr>
          <w:b/>
          <w:color w:val="008000"/>
        </w:rPr>
      </w:pPr>
    </w:p>
    <w:p w:rsidR="00352F45" w:rsidRDefault="00352F45" w:rsidP="00352F45">
      <w:pPr>
        <w:ind w:firstLine="720"/>
        <w:rPr>
          <w:b/>
          <w:color w:val="008000"/>
        </w:rPr>
      </w:pPr>
    </w:p>
    <w:p w:rsidR="00352F45" w:rsidRDefault="00352F45" w:rsidP="00352F45">
      <w:pPr>
        <w:ind w:firstLine="720"/>
        <w:rPr>
          <w:b/>
          <w:color w:val="008000"/>
        </w:rPr>
      </w:pPr>
    </w:p>
    <w:p w:rsidR="00352F45" w:rsidRDefault="00352F45" w:rsidP="00352F45">
      <w:pPr>
        <w:ind w:firstLine="720"/>
        <w:rPr>
          <w:b/>
          <w:color w:val="008000"/>
        </w:rPr>
      </w:pPr>
    </w:p>
    <w:p w:rsidR="00352F45" w:rsidRDefault="00352F45" w:rsidP="00352F45">
      <w:pPr>
        <w:ind w:firstLine="720"/>
        <w:rPr>
          <w:b/>
          <w:color w:val="008000"/>
        </w:rPr>
      </w:pPr>
    </w:p>
    <w:p w:rsidR="00352F45" w:rsidRDefault="00352F45" w:rsidP="00352F45">
      <w:pPr>
        <w:ind w:firstLine="720"/>
        <w:rPr>
          <w:b/>
          <w:color w:val="008000"/>
        </w:rPr>
      </w:pPr>
    </w:p>
    <w:p w:rsidR="00E12E47" w:rsidRPr="00930AF1" w:rsidRDefault="00E12E47" w:rsidP="00352F45">
      <w:pPr>
        <w:ind w:firstLine="720"/>
        <w:rPr>
          <w:b/>
          <w:color w:val="008000"/>
        </w:rPr>
      </w:pPr>
      <w:r w:rsidRPr="00930AF1">
        <w:rPr>
          <w:b/>
          <w:color w:val="008000"/>
        </w:rPr>
        <w:t>CAMPUS CENTER EXPANSION</w:t>
      </w:r>
    </w:p>
    <w:p w:rsidR="00023380" w:rsidRDefault="00E12E47" w:rsidP="00352F45">
      <w:pPr>
        <w:ind w:left="720"/>
        <w:rPr>
          <w:rFonts w:asciiTheme="majorHAnsi" w:hAnsiTheme="majorHAnsi"/>
          <w:color w:val="008000"/>
          <w:sz w:val="22"/>
        </w:rPr>
      </w:pPr>
      <w:r w:rsidRPr="00352F45">
        <w:rPr>
          <w:rFonts w:asciiTheme="majorHAnsi" w:hAnsiTheme="majorHAnsi"/>
          <w:color w:val="008000"/>
          <w:sz w:val="22"/>
        </w:rPr>
        <w:t xml:space="preserve">A Conference Hub (building) in space between Bookstore and Campus Center.  This new multi-story </w:t>
      </w:r>
    </w:p>
    <w:p w:rsidR="00E12E47" w:rsidRPr="00352F45" w:rsidRDefault="00E12E47" w:rsidP="00352F45">
      <w:pPr>
        <w:ind w:left="720"/>
        <w:rPr>
          <w:rFonts w:asciiTheme="majorHAnsi" w:hAnsiTheme="majorHAnsi"/>
          <w:b/>
          <w:color w:val="008000"/>
          <w:sz w:val="22"/>
        </w:rPr>
      </w:pPr>
      <w:r w:rsidRPr="00352F45">
        <w:rPr>
          <w:rFonts w:asciiTheme="majorHAnsi" w:hAnsiTheme="majorHAnsi"/>
          <w:color w:val="008000"/>
          <w:sz w:val="22"/>
        </w:rPr>
        <w:t>building would link the two areas, and provide additional functionality for the campus:</w:t>
      </w:r>
    </w:p>
    <w:p w:rsidR="00E12E47" w:rsidRPr="00625A35" w:rsidRDefault="00E12E47" w:rsidP="00E12E47">
      <w:pPr>
        <w:pStyle w:val="ListParagraph"/>
        <w:numPr>
          <w:ilvl w:val="1"/>
          <w:numId w:val="2"/>
        </w:numPr>
        <w:rPr>
          <w:rFonts w:asciiTheme="majorHAnsi" w:hAnsiTheme="majorHAnsi"/>
          <w:b/>
          <w:color w:val="008000"/>
          <w:sz w:val="22"/>
        </w:rPr>
      </w:pPr>
      <w:r w:rsidRPr="00625A35">
        <w:rPr>
          <w:rFonts w:asciiTheme="majorHAnsi" w:hAnsiTheme="majorHAnsi"/>
          <w:color w:val="008000"/>
          <w:sz w:val="22"/>
        </w:rPr>
        <w:t>Conference and multi-function meeting spaces</w:t>
      </w:r>
    </w:p>
    <w:p w:rsidR="00E12E47" w:rsidRPr="00625A35" w:rsidRDefault="00E12E47" w:rsidP="00E12E47">
      <w:pPr>
        <w:pStyle w:val="ListParagraph"/>
        <w:numPr>
          <w:ilvl w:val="1"/>
          <w:numId w:val="2"/>
        </w:numPr>
        <w:rPr>
          <w:rFonts w:asciiTheme="majorHAnsi" w:hAnsiTheme="majorHAnsi"/>
          <w:b/>
          <w:color w:val="008000"/>
          <w:sz w:val="22"/>
        </w:rPr>
      </w:pPr>
      <w:r w:rsidRPr="00625A35">
        <w:rPr>
          <w:rFonts w:asciiTheme="majorHAnsi" w:hAnsiTheme="majorHAnsi"/>
          <w:color w:val="008000"/>
          <w:sz w:val="22"/>
        </w:rPr>
        <w:t>An option for service areas (Veterans Center, for example)</w:t>
      </w:r>
    </w:p>
    <w:p w:rsidR="00E12E47" w:rsidRPr="00625A35" w:rsidRDefault="00E12E47" w:rsidP="00930AF1">
      <w:pPr>
        <w:pStyle w:val="ListParagraph"/>
        <w:numPr>
          <w:ilvl w:val="1"/>
          <w:numId w:val="2"/>
        </w:numPr>
        <w:ind w:right="-900"/>
        <w:rPr>
          <w:rFonts w:asciiTheme="majorHAnsi" w:hAnsiTheme="majorHAnsi"/>
          <w:b/>
          <w:color w:val="008000"/>
          <w:sz w:val="22"/>
        </w:rPr>
      </w:pPr>
      <w:r w:rsidRPr="00625A35">
        <w:rPr>
          <w:rFonts w:asciiTheme="majorHAnsi" w:hAnsiTheme="majorHAnsi"/>
          <w:color w:val="008000"/>
          <w:sz w:val="22"/>
        </w:rPr>
        <w:t xml:space="preserve">An option for </w:t>
      </w:r>
      <w:r w:rsidRPr="00930AF1">
        <w:rPr>
          <w:rFonts w:asciiTheme="majorHAnsi" w:hAnsiTheme="majorHAnsi"/>
          <w:b/>
          <w:color w:val="008000"/>
        </w:rPr>
        <w:t>BC Executive Suites</w:t>
      </w:r>
      <w:r w:rsidRPr="00930AF1">
        <w:rPr>
          <w:rFonts w:asciiTheme="majorHAnsi" w:hAnsiTheme="majorHAnsi"/>
          <w:color w:val="008000"/>
        </w:rPr>
        <w:t xml:space="preserve"> </w:t>
      </w:r>
      <w:r w:rsidRPr="00625A35">
        <w:rPr>
          <w:rFonts w:asciiTheme="majorHAnsi" w:hAnsiTheme="majorHAnsi"/>
          <w:color w:val="008000"/>
          <w:sz w:val="22"/>
        </w:rPr>
        <w:t>on top floor.</w:t>
      </w:r>
    </w:p>
    <w:p w:rsidR="00301948" w:rsidRPr="00BD4131" w:rsidRDefault="00301948" w:rsidP="00BD4131"/>
    <w:sectPr w:rsidR="00301948" w:rsidRPr="00BD4131" w:rsidSect="00352F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1E" w:rsidRDefault="007D6C1E" w:rsidP="00E12E47">
      <w:r>
        <w:separator/>
      </w:r>
    </w:p>
  </w:endnote>
  <w:endnote w:type="continuationSeparator" w:id="0">
    <w:p w:rsidR="007D6C1E" w:rsidRDefault="007D6C1E" w:rsidP="00E1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1E" w:rsidRDefault="007D6C1E" w:rsidP="00E12E47">
      <w:r>
        <w:separator/>
      </w:r>
    </w:p>
  </w:footnote>
  <w:footnote w:type="continuationSeparator" w:id="0">
    <w:p w:rsidR="007D6C1E" w:rsidRDefault="007D6C1E" w:rsidP="00E1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52A7"/>
    <w:multiLevelType w:val="hybridMultilevel"/>
    <w:tmpl w:val="4B08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C6C4E"/>
    <w:multiLevelType w:val="hybridMultilevel"/>
    <w:tmpl w:val="751C3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58"/>
    <w:rsid w:val="00023380"/>
    <w:rsid w:val="00171D1F"/>
    <w:rsid w:val="001C2D35"/>
    <w:rsid w:val="002E53F7"/>
    <w:rsid w:val="00301948"/>
    <w:rsid w:val="00352F45"/>
    <w:rsid w:val="00391888"/>
    <w:rsid w:val="004A2B58"/>
    <w:rsid w:val="004F5AFF"/>
    <w:rsid w:val="005D6A16"/>
    <w:rsid w:val="00625A35"/>
    <w:rsid w:val="007D6C1E"/>
    <w:rsid w:val="00830BDC"/>
    <w:rsid w:val="00930AF1"/>
    <w:rsid w:val="00A1457E"/>
    <w:rsid w:val="00A810E7"/>
    <w:rsid w:val="00B056FC"/>
    <w:rsid w:val="00BC333D"/>
    <w:rsid w:val="00BD4131"/>
    <w:rsid w:val="00CE2BAB"/>
    <w:rsid w:val="00E12E47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4A2B5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List-Accent2">
    <w:name w:val="Colorful List Accent 2"/>
    <w:basedOn w:val="TableNormal"/>
    <w:uiPriority w:val="72"/>
    <w:rsid w:val="004A2B5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A2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E47"/>
  </w:style>
  <w:style w:type="paragraph" w:styleId="Footer">
    <w:name w:val="footer"/>
    <w:basedOn w:val="Normal"/>
    <w:link w:val="FooterChar"/>
    <w:uiPriority w:val="99"/>
    <w:unhideWhenUsed/>
    <w:rsid w:val="00E12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E47"/>
  </w:style>
  <w:style w:type="paragraph" w:styleId="BalloonText">
    <w:name w:val="Balloon Text"/>
    <w:basedOn w:val="Normal"/>
    <w:link w:val="BalloonTextChar"/>
    <w:uiPriority w:val="99"/>
    <w:semiHidden/>
    <w:unhideWhenUsed/>
    <w:rsid w:val="003019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4A2B5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List-Accent2">
    <w:name w:val="Colorful List Accent 2"/>
    <w:basedOn w:val="TableNormal"/>
    <w:uiPriority w:val="72"/>
    <w:rsid w:val="004A2B5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4A2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E47"/>
  </w:style>
  <w:style w:type="paragraph" w:styleId="Footer">
    <w:name w:val="footer"/>
    <w:basedOn w:val="Normal"/>
    <w:link w:val="FooterChar"/>
    <w:uiPriority w:val="99"/>
    <w:unhideWhenUsed/>
    <w:rsid w:val="00E12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E47"/>
  </w:style>
  <w:style w:type="paragraph" w:styleId="BalloonText">
    <w:name w:val="Balloon Text"/>
    <w:basedOn w:val="Normal"/>
    <w:link w:val="BalloonTextChar"/>
    <w:uiPriority w:val="99"/>
    <w:semiHidden/>
    <w:unhideWhenUsed/>
    <w:rsid w:val="003019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22E463-81F4-4951-910A-C61AD0FA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  DADABHOY</dc:creator>
  <cp:keywords/>
  <dc:description/>
  <cp:lastModifiedBy>margaret.head</cp:lastModifiedBy>
  <cp:revision>2</cp:revision>
  <cp:lastPrinted>2014-02-07T16:03:00Z</cp:lastPrinted>
  <dcterms:created xsi:type="dcterms:W3CDTF">2014-02-07T16:33:00Z</dcterms:created>
  <dcterms:modified xsi:type="dcterms:W3CDTF">2014-02-07T16:33:00Z</dcterms:modified>
</cp:coreProperties>
</file>