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10" w:tblpY="229"/>
        <w:tblW w:w="11515" w:type="dxa"/>
        <w:tblLayout w:type="fixed"/>
        <w:tblCellMar>
          <w:left w:w="115" w:type="dxa"/>
          <w:right w:w="115" w:type="dxa"/>
        </w:tblCellMar>
        <w:tblLook w:val="04A0" w:firstRow="1" w:lastRow="0" w:firstColumn="1" w:lastColumn="0" w:noHBand="0" w:noVBand="1"/>
      </w:tblPr>
      <w:tblGrid>
        <w:gridCol w:w="2551"/>
        <w:gridCol w:w="452"/>
        <w:gridCol w:w="1312"/>
        <w:gridCol w:w="6480"/>
        <w:gridCol w:w="720"/>
      </w:tblGrid>
      <w:tr w:rsidR="00A76B3F" w:rsidRPr="00E3013D" w:rsidTr="00F03446">
        <w:trPr>
          <w:trHeight w:val="1104"/>
        </w:trPr>
        <w:tc>
          <w:tcPr>
            <w:tcW w:w="11515" w:type="dxa"/>
            <w:gridSpan w:val="5"/>
            <w:shd w:val="clear" w:color="auto" w:fill="FF0000"/>
          </w:tcPr>
          <w:p w:rsidR="00A76B3F" w:rsidRDefault="00B8621E" w:rsidP="00F03446">
            <w:pPr>
              <w:spacing w:line="240" w:lineRule="auto"/>
              <w:jc w:val="center"/>
              <w:rPr>
                <w:rFonts w:ascii="Lucida Sans Unicode" w:eastAsia="Times New Roman" w:hAnsi="Lucida Sans Unicode" w:cs="Lucida Sans Unicode"/>
                <w:color w:val="000000"/>
                <w:kern w:val="28"/>
                <w:sz w:val="24"/>
                <w:szCs w:val="24"/>
              </w:rPr>
            </w:pPr>
            <w:r w:rsidRPr="009E102B">
              <w:rPr>
                <w:noProof/>
              </w:rPr>
              <w:drawing>
                <wp:anchor distT="0" distB="0" distL="114300" distR="114300" simplePos="0" relativeHeight="251660288" behindDoc="1" locked="0" layoutInCell="1" allowOverlap="1" wp14:anchorId="0BC10080" wp14:editId="063CF6F6">
                  <wp:simplePos x="0" y="0"/>
                  <wp:positionH relativeFrom="column">
                    <wp:posOffset>-10160</wp:posOffset>
                  </wp:positionH>
                  <wp:positionV relativeFrom="page">
                    <wp:posOffset>30480</wp:posOffset>
                  </wp:positionV>
                  <wp:extent cx="1257300" cy="706755"/>
                  <wp:effectExtent l="0" t="0" r="0" b="0"/>
                  <wp:wrapThrough wrapText="bothSides">
                    <wp:wrapPolygon edited="0">
                      <wp:start x="0" y="0"/>
                      <wp:lineTo x="0" y="20960"/>
                      <wp:lineTo x="21273" y="20960"/>
                      <wp:lineTo x="212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7300" cy="706755"/>
                          </a:xfrm>
                          <a:prstGeom prst="rect">
                            <a:avLst/>
                          </a:prstGeom>
                        </pic:spPr>
                      </pic:pic>
                    </a:graphicData>
                  </a:graphic>
                  <wp14:sizeRelH relativeFrom="margin">
                    <wp14:pctWidth>0</wp14:pctWidth>
                  </wp14:sizeRelH>
                  <wp14:sizeRelV relativeFrom="margin">
                    <wp14:pctHeight>0</wp14:pctHeight>
                  </wp14:sizeRelV>
                </wp:anchor>
              </w:drawing>
            </w:r>
            <w:r w:rsidR="00A76B3F">
              <w:rPr>
                <w:rFonts w:ascii="Lucida Sans Unicode" w:eastAsia="Times New Roman" w:hAnsi="Lucida Sans Unicode" w:cs="Lucida Sans Unicode"/>
                <w:color w:val="000000"/>
                <w:kern w:val="28"/>
                <w:sz w:val="24"/>
                <w:szCs w:val="24"/>
              </w:rPr>
              <w:t>BC ASSESSMENT COMMITTEE MEETING</w:t>
            </w:r>
          </w:p>
          <w:p w:rsidR="00A76B3F" w:rsidRPr="00610060" w:rsidRDefault="00FF4362" w:rsidP="00F03446">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April 23</w:t>
            </w:r>
            <w:r w:rsidRPr="00FF4362">
              <w:rPr>
                <w:rFonts w:ascii="Lucida Sans Unicode" w:eastAsia="Times New Roman" w:hAnsi="Lucida Sans Unicode" w:cs="Lucida Sans Unicode"/>
                <w:color w:val="000000"/>
                <w:kern w:val="28"/>
                <w:sz w:val="24"/>
                <w:szCs w:val="24"/>
                <w:vertAlign w:val="superscript"/>
              </w:rPr>
              <w:t>rd</w:t>
            </w:r>
            <w:r w:rsidR="00F300DA">
              <w:rPr>
                <w:rFonts w:ascii="Lucida Sans Unicode" w:eastAsia="Times New Roman" w:hAnsi="Lucida Sans Unicode" w:cs="Lucida Sans Unicode"/>
                <w:color w:val="000000"/>
                <w:kern w:val="28"/>
                <w:sz w:val="24"/>
                <w:szCs w:val="24"/>
              </w:rPr>
              <w:t>,2018  3:30</w:t>
            </w:r>
            <w:r w:rsidR="002633D3">
              <w:rPr>
                <w:rFonts w:ascii="Lucida Sans Unicode" w:eastAsia="Times New Roman" w:hAnsi="Lucida Sans Unicode" w:cs="Lucida Sans Unicode"/>
                <w:color w:val="000000"/>
                <w:kern w:val="28"/>
                <w:sz w:val="24"/>
                <w:szCs w:val="24"/>
              </w:rPr>
              <w:t>pm-5pm in Collins Conference Center</w:t>
            </w:r>
          </w:p>
          <w:p w:rsidR="00A76B3F" w:rsidRPr="00CF1D8E" w:rsidRDefault="00A76B3F" w:rsidP="00F03446">
            <w:pPr>
              <w:spacing w:line="240" w:lineRule="auto"/>
              <w:jc w:val="center"/>
              <w:rPr>
                <w:rFonts w:ascii="Century Gothic" w:eastAsia="Times New Roman" w:hAnsi="Century Gothic" w:cs="Century Gothic"/>
                <w:b/>
                <w:i/>
                <w:color w:val="000000"/>
                <w:kern w:val="28"/>
                <w:sz w:val="20"/>
                <w:szCs w:val="20"/>
              </w:rPr>
            </w:pPr>
            <w:r w:rsidRPr="00CF1D8E">
              <w:rPr>
                <w:rFonts w:ascii="Century Gothic" w:eastAsia="Times New Roman" w:hAnsi="Century Gothic" w:cs="Century Gothic"/>
                <w:b/>
                <w:i/>
                <w:color w:val="000000"/>
                <w:kern w:val="28"/>
                <w:sz w:val="20"/>
                <w:szCs w:val="20"/>
              </w:rPr>
              <w:t>Agendas, Minutes and Meeting Materials on the Committee Website</w:t>
            </w:r>
          </w:p>
          <w:p w:rsidR="00A76B3F" w:rsidRPr="00CF1D8E" w:rsidRDefault="00B21591" w:rsidP="00F03446">
            <w:pPr>
              <w:spacing w:line="240" w:lineRule="auto"/>
              <w:jc w:val="center"/>
              <w:rPr>
                <w:rFonts w:ascii="Times New Roman" w:eastAsia="Times New Roman" w:hAnsi="Times New Roman" w:cs="Times New Roman"/>
                <w:color w:val="000000"/>
                <w:kern w:val="28"/>
                <w:sz w:val="20"/>
                <w:szCs w:val="20"/>
              </w:rPr>
            </w:pPr>
            <w:hyperlink r:id="rId6" w:history="1">
              <w:r w:rsidR="00A76B3F" w:rsidRPr="00153FE2">
                <w:rPr>
                  <w:rFonts w:ascii="Times New Roman" w:eastAsia="Times New Roman" w:hAnsi="Times New Roman" w:cs="Times New Roman"/>
                  <w:color w:val="FFFFFF" w:themeColor="background1"/>
                  <w:kern w:val="28"/>
                  <w:sz w:val="20"/>
                  <w:szCs w:val="20"/>
                  <w:u w:val="single"/>
                </w:rPr>
                <w:t>https://committees.kccd.edu/bc/committee/assessment</w:t>
              </w:r>
            </w:hyperlink>
          </w:p>
        </w:tc>
      </w:tr>
      <w:tr w:rsidR="005E1937" w:rsidRPr="00E65219" w:rsidTr="00F03446">
        <w:trPr>
          <w:trHeight w:val="923"/>
        </w:trPr>
        <w:tc>
          <w:tcPr>
            <w:tcW w:w="2551" w:type="dxa"/>
            <w:vMerge w:val="restart"/>
          </w:tcPr>
          <w:p w:rsidR="005E1937" w:rsidRDefault="005E1937" w:rsidP="00F03446">
            <w:pPr>
              <w:spacing w:line="240" w:lineRule="auto"/>
              <w:jc w:val="center"/>
              <w:rPr>
                <w:rFonts w:ascii="Nyala" w:eastAsia="Times New Roman" w:hAnsi="Nyala" w:cs="Tahoma"/>
                <w:b/>
                <w:color w:val="2A2003"/>
                <w:kern w:val="28"/>
                <w:sz w:val="24"/>
                <w:szCs w:val="24"/>
              </w:rPr>
            </w:pPr>
          </w:p>
          <w:p w:rsidR="005E1937" w:rsidRDefault="005E1937" w:rsidP="00F03446">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Bakersfield College Mission</w:t>
            </w:r>
          </w:p>
          <w:p w:rsidR="005E1937" w:rsidRPr="00894FC8" w:rsidRDefault="005E1937" w:rsidP="00F03446">
            <w:pPr>
              <w:spacing w:line="240" w:lineRule="auto"/>
              <w:jc w:val="center"/>
              <w:rPr>
                <w:rFonts w:ascii="Nyala" w:eastAsia="Times New Roman" w:hAnsi="Nyala" w:cs="Tahoma"/>
                <w:color w:val="2A2003"/>
                <w:kern w:val="28"/>
              </w:rPr>
            </w:pPr>
            <w:r w:rsidRPr="00894FC8">
              <w:rPr>
                <w:rFonts w:ascii="Nyala" w:eastAsia="Times New Roman" w:hAnsi="Nyala" w:cs="Tahoma"/>
                <w:color w:val="2A2003"/>
                <w:kern w:val="28"/>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fosters students’ abilities to think critically, communicate effectively, and demonstrate competencies and skills in order to engage productively in their communities and the world.</w:t>
            </w:r>
          </w:p>
          <w:p w:rsidR="005E1937" w:rsidRDefault="005E1937" w:rsidP="00F03446">
            <w:pPr>
              <w:spacing w:line="240" w:lineRule="auto"/>
              <w:rPr>
                <w:rFonts w:ascii="Nyala" w:eastAsia="Times New Roman" w:hAnsi="Nyala" w:cs="Tahoma"/>
                <w:b/>
                <w:color w:val="2A2003"/>
                <w:kern w:val="28"/>
                <w:sz w:val="24"/>
                <w:szCs w:val="24"/>
              </w:rPr>
            </w:pPr>
          </w:p>
          <w:p w:rsidR="005E1937" w:rsidRPr="00392B90" w:rsidRDefault="005E1937" w:rsidP="00F03446">
            <w:pPr>
              <w:spacing w:line="240" w:lineRule="auto"/>
              <w:jc w:val="center"/>
              <w:rPr>
                <w:rFonts w:ascii="Nyala" w:eastAsia="Times New Roman" w:hAnsi="Nyala" w:cs="Tahoma"/>
                <w:b/>
                <w:color w:val="2A2003"/>
                <w:kern w:val="28"/>
                <w:sz w:val="20"/>
                <w:szCs w:val="20"/>
              </w:rPr>
            </w:pPr>
            <w:r w:rsidRPr="00392B90">
              <w:rPr>
                <w:rFonts w:ascii="Nyala" w:eastAsia="Times New Roman" w:hAnsi="Nyala" w:cs="Tahoma"/>
                <w:b/>
                <w:color w:val="2A2003"/>
                <w:kern w:val="28"/>
                <w:sz w:val="20"/>
                <w:szCs w:val="20"/>
              </w:rPr>
              <w:t>ASSESSMENT COMMITTEE</w:t>
            </w:r>
          </w:p>
          <w:p w:rsidR="005E1937" w:rsidRDefault="005E1937" w:rsidP="00F03446">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GOALS 17-18</w:t>
            </w:r>
          </w:p>
          <w:p w:rsidR="005E1937" w:rsidRPr="00397C90" w:rsidRDefault="005E1937" w:rsidP="00F03446">
            <w:pPr>
              <w:spacing w:line="240" w:lineRule="auto"/>
              <w:jc w:val="center"/>
              <w:rPr>
                <w:rFonts w:ascii="Nyala" w:eastAsia="Times New Roman" w:hAnsi="Nyala" w:cs="Tahoma"/>
                <w:i/>
                <w:color w:val="2A2003"/>
                <w:kern w:val="28"/>
                <w:lang w:val="en"/>
              </w:rPr>
            </w:pPr>
            <w:r w:rsidRPr="00397C90">
              <w:rPr>
                <w:rFonts w:ascii="Nyala" w:eastAsia="Times New Roman" w:hAnsi="Nyala" w:cs="Tahoma"/>
                <w:b/>
                <w:color w:val="2A2003"/>
                <w:kern w:val="28"/>
                <w:sz w:val="24"/>
                <w:szCs w:val="24"/>
              </w:rPr>
              <w:t>Goal 1:</w:t>
            </w:r>
            <w:r w:rsidRPr="00397C90">
              <w:rPr>
                <w:rFonts w:ascii="Nyala" w:eastAsia="Times New Roman" w:hAnsi="Nyala" w:cs="Tahoma"/>
                <w:color w:val="2A2003"/>
                <w:kern w:val="28"/>
                <w:sz w:val="24"/>
                <w:szCs w:val="24"/>
              </w:rPr>
              <w:t xml:space="preserve">  </w:t>
            </w:r>
          </w:p>
          <w:p w:rsidR="005E1937" w:rsidRDefault="005E1937" w:rsidP="00F03446">
            <w:pPr>
              <w:pStyle w:val="ListParagraph"/>
              <w:numPr>
                <w:ilvl w:val="0"/>
                <w:numId w:val="4"/>
              </w:numPr>
              <w:spacing w:line="240" w:lineRule="auto"/>
              <w:ind w:left="150" w:hanging="150"/>
              <w:rPr>
                <w:rFonts w:ascii="Nyala" w:eastAsia="Times New Roman" w:hAnsi="Nyala" w:cs="Tahoma"/>
                <w:color w:val="2A2003"/>
                <w:kern w:val="28"/>
                <w:sz w:val="20"/>
                <w:szCs w:val="24"/>
                <w:lang w:val="en"/>
              </w:rPr>
            </w:pPr>
            <w:r w:rsidRPr="00392B90">
              <w:rPr>
                <w:rFonts w:ascii="Nyala" w:eastAsia="Times New Roman" w:hAnsi="Nyala" w:cs="Tahoma"/>
                <w:color w:val="2A2003"/>
                <w:kern w:val="28"/>
                <w:sz w:val="20"/>
                <w:szCs w:val="24"/>
                <w:lang w:val="en"/>
              </w:rPr>
              <w:t>Ensure clear, thorough, measurable and level-appropriate SLO’s, PLO’s, AUO’s are developed, mapped and assessed on a regular basis.</w:t>
            </w:r>
          </w:p>
          <w:p w:rsidR="005E1937" w:rsidRDefault="005E1937" w:rsidP="00F03446">
            <w:pPr>
              <w:pStyle w:val="ListParagraph"/>
              <w:numPr>
                <w:ilvl w:val="0"/>
                <w:numId w:val="4"/>
              </w:numPr>
              <w:spacing w:line="240" w:lineRule="auto"/>
              <w:ind w:left="150" w:hanging="150"/>
              <w:rPr>
                <w:rFonts w:ascii="Nyala" w:eastAsia="Times New Roman" w:hAnsi="Nyala" w:cs="Tahoma"/>
                <w:color w:val="2A2003"/>
                <w:kern w:val="28"/>
                <w:sz w:val="20"/>
                <w:szCs w:val="24"/>
                <w:lang w:val="en"/>
              </w:rPr>
            </w:pPr>
            <w:r w:rsidRPr="00392B90">
              <w:rPr>
                <w:rFonts w:ascii="Nyala" w:eastAsia="Times New Roman" w:hAnsi="Nyala" w:cs="Tahoma"/>
                <w:color w:val="2A2003"/>
                <w:kern w:val="28"/>
                <w:sz w:val="20"/>
                <w:szCs w:val="24"/>
                <w:lang w:val="en"/>
              </w:rPr>
              <w:t>Assist in utilization of results of assessments for continuous improvement in student learning.</w:t>
            </w:r>
          </w:p>
          <w:p w:rsidR="005E1937" w:rsidRPr="00392B90" w:rsidRDefault="005E1937" w:rsidP="00F03446">
            <w:pPr>
              <w:pStyle w:val="ListParagraph"/>
              <w:numPr>
                <w:ilvl w:val="0"/>
                <w:numId w:val="4"/>
              </w:numPr>
              <w:spacing w:line="240" w:lineRule="auto"/>
              <w:ind w:left="150" w:hanging="150"/>
              <w:rPr>
                <w:rFonts w:ascii="Nyala" w:eastAsia="Times New Roman" w:hAnsi="Nyala" w:cs="Tahoma"/>
                <w:color w:val="2A2003"/>
                <w:kern w:val="28"/>
                <w:sz w:val="20"/>
                <w:szCs w:val="24"/>
                <w:lang w:val="en"/>
              </w:rPr>
            </w:pPr>
            <w:r w:rsidRPr="00392B90">
              <w:rPr>
                <w:rFonts w:ascii="Nyala" w:eastAsia="Times New Roman" w:hAnsi="Nyala" w:cs="Tahoma"/>
                <w:color w:val="2A2003"/>
                <w:kern w:val="28"/>
                <w:sz w:val="20"/>
                <w:szCs w:val="24"/>
                <w:lang w:val="en"/>
              </w:rPr>
              <w:t>Provide faculty with tools needed to achieve competency in student learning assessment process.</w:t>
            </w:r>
          </w:p>
          <w:p w:rsidR="005E1937" w:rsidRDefault="005E1937" w:rsidP="00F03446">
            <w:pPr>
              <w:spacing w:line="240" w:lineRule="auto"/>
              <w:jc w:val="center"/>
              <w:rPr>
                <w:rFonts w:ascii="Nyala" w:eastAsia="Times New Roman" w:hAnsi="Nyala" w:cs="Tahoma"/>
                <w:b/>
                <w:color w:val="2A2003"/>
                <w:kern w:val="28"/>
                <w:sz w:val="24"/>
                <w:szCs w:val="24"/>
              </w:rPr>
            </w:pPr>
          </w:p>
          <w:p w:rsidR="005E1937" w:rsidRPr="00392B90" w:rsidRDefault="005E1937" w:rsidP="00F03446">
            <w:pPr>
              <w:spacing w:line="240" w:lineRule="auto"/>
              <w:jc w:val="center"/>
              <w:rPr>
                <w:rFonts w:ascii="Nyala" w:eastAsia="Times New Roman" w:hAnsi="Nyala" w:cs="Tahoma"/>
                <w:i/>
                <w:color w:val="2A2003"/>
                <w:kern w:val="28"/>
                <w:lang w:val="en"/>
              </w:rPr>
            </w:pPr>
            <w:r>
              <w:rPr>
                <w:rFonts w:ascii="Nyala" w:eastAsia="Times New Roman" w:hAnsi="Nyala" w:cs="Tahoma"/>
                <w:b/>
                <w:color w:val="2A2003"/>
                <w:kern w:val="28"/>
                <w:sz w:val="24"/>
                <w:szCs w:val="24"/>
              </w:rPr>
              <w:t>Goal 2:</w:t>
            </w:r>
          </w:p>
          <w:p w:rsidR="005E1937" w:rsidRDefault="005E1937" w:rsidP="00F03446">
            <w:pPr>
              <w:spacing w:line="240" w:lineRule="auto"/>
              <w:rPr>
                <w:rFonts w:ascii="Nyala" w:eastAsia="Times New Roman" w:hAnsi="Nyala" w:cs="Tahoma"/>
                <w:b/>
                <w:color w:val="2A2003"/>
                <w:kern w:val="28"/>
                <w:sz w:val="24"/>
                <w:szCs w:val="24"/>
              </w:rPr>
            </w:pPr>
            <w:r w:rsidRPr="00392B90">
              <w:rPr>
                <w:rFonts w:ascii="Nyala" w:eastAsia="Times New Roman" w:hAnsi="Nyala" w:cs="Tahoma"/>
                <w:color w:val="2A2003"/>
                <w:kern w:val="28"/>
                <w:sz w:val="20"/>
                <w:szCs w:val="20"/>
                <w:lang w:val="en"/>
              </w:rPr>
              <w:t>Broadly communicate the results of all assessment and evaluation activities for shared understanding and for sustained, substantive, and collegial dialogue about our strengths and weaknesses, setting appropriate priorities, student outcomes, and continuous improvement of student learning and achievement.</w:t>
            </w:r>
          </w:p>
        </w:tc>
        <w:tc>
          <w:tcPr>
            <w:tcW w:w="452" w:type="dxa"/>
          </w:tcPr>
          <w:p w:rsidR="005E1937" w:rsidRPr="00E65219" w:rsidRDefault="005E1937" w:rsidP="00F03446">
            <w:pPr>
              <w:spacing w:beforeLines="60" w:before="144" w:afterLines="60" w:after="144" w:line="240" w:lineRule="auto"/>
              <w:jc w:val="center"/>
            </w:pPr>
          </w:p>
        </w:tc>
        <w:tc>
          <w:tcPr>
            <w:tcW w:w="1312" w:type="dxa"/>
          </w:tcPr>
          <w:p w:rsidR="005E1937" w:rsidRPr="00722867" w:rsidRDefault="005E1937" w:rsidP="00F03446">
            <w:pPr>
              <w:spacing w:beforeLines="60" w:before="144" w:afterLines="60" w:after="144" w:line="240" w:lineRule="auto"/>
              <w:jc w:val="center"/>
              <w:rPr>
                <w:b/>
              </w:rPr>
            </w:pPr>
            <w:r>
              <w:rPr>
                <w:b/>
              </w:rPr>
              <w:t>Attended:</w:t>
            </w:r>
          </w:p>
        </w:tc>
        <w:tc>
          <w:tcPr>
            <w:tcW w:w="6480" w:type="dxa"/>
          </w:tcPr>
          <w:p w:rsidR="005E1937" w:rsidRPr="00285183" w:rsidRDefault="005E1937" w:rsidP="00F03446">
            <w:pPr>
              <w:spacing w:beforeLines="60" w:before="144" w:afterLines="60" w:after="144" w:line="240" w:lineRule="auto"/>
              <w:jc w:val="center"/>
              <w:rPr>
                <w:sz w:val="20"/>
                <w:szCs w:val="20"/>
              </w:rPr>
            </w:pPr>
            <w:r>
              <w:rPr>
                <w:sz w:val="20"/>
                <w:szCs w:val="20"/>
              </w:rPr>
              <w:t xml:space="preserve">Billie Jo Rice, Di Hoffman, Brent Wilson, Eleonora Hicks, Milena Liles, Gayle Richardson, Pam Davis, Faith Bradham, </w:t>
            </w:r>
            <w:proofErr w:type="spellStart"/>
            <w:r>
              <w:rPr>
                <w:sz w:val="20"/>
                <w:szCs w:val="20"/>
              </w:rPr>
              <w:t>Nigie</w:t>
            </w:r>
            <w:proofErr w:type="spellEnd"/>
            <w:r>
              <w:rPr>
                <w:sz w:val="20"/>
                <w:szCs w:val="20"/>
              </w:rPr>
              <w:t xml:space="preserve"> Shi, Erica Menchaca, Isaac </w:t>
            </w:r>
            <w:proofErr w:type="spellStart"/>
            <w:r>
              <w:rPr>
                <w:sz w:val="20"/>
                <w:szCs w:val="20"/>
              </w:rPr>
              <w:t>Vannasone</w:t>
            </w:r>
            <w:proofErr w:type="spellEnd"/>
            <w:r>
              <w:rPr>
                <w:sz w:val="20"/>
                <w:szCs w:val="20"/>
              </w:rPr>
              <w:t>, Edie Nelson, Stephen Waller.</w:t>
            </w:r>
          </w:p>
        </w:tc>
        <w:tc>
          <w:tcPr>
            <w:tcW w:w="720" w:type="dxa"/>
          </w:tcPr>
          <w:p w:rsidR="005E1937" w:rsidRPr="00397C90" w:rsidRDefault="005E1937" w:rsidP="00F03446">
            <w:pPr>
              <w:spacing w:beforeLines="60" w:before="144" w:afterLines="60" w:after="144" w:line="240" w:lineRule="auto"/>
              <w:jc w:val="center"/>
              <w:rPr>
                <w:sz w:val="20"/>
                <w:szCs w:val="20"/>
              </w:rPr>
            </w:pPr>
          </w:p>
        </w:tc>
      </w:tr>
      <w:tr w:rsidR="005E1937" w:rsidRPr="00E65219" w:rsidTr="00F03446">
        <w:trPr>
          <w:trHeight w:val="437"/>
        </w:trPr>
        <w:tc>
          <w:tcPr>
            <w:tcW w:w="2551" w:type="dxa"/>
            <w:vMerge/>
          </w:tcPr>
          <w:p w:rsidR="005E1937" w:rsidRPr="005E1937" w:rsidRDefault="005E1937" w:rsidP="00F03446">
            <w:pPr>
              <w:spacing w:line="240" w:lineRule="auto"/>
              <w:rPr>
                <w:rFonts w:ascii="Nyala" w:eastAsia="Times New Roman" w:hAnsi="Nyala" w:cs="Tahoma"/>
                <w:color w:val="2A2003"/>
                <w:kern w:val="28"/>
                <w:sz w:val="20"/>
                <w:szCs w:val="20"/>
                <w:lang w:val="en"/>
              </w:rPr>
            </w:pPr>
          </w:p>
        </w:tc>
        <w:tc>
          <w:tcPr>
            <w:tcW w:w="452" w:type="dxa"/>
          </w:tcPr>
          <w:p w:rsidR="005E1937" w:rsidRPr="00E65219" w:rsidRDefault="005E1937" w:rsidP="00F03446">
            <w:pPr>
              <w:spacing w:beforeLines="60" w:before="144" w:afterLines="60" w:after="144" w:line="240" w:lineRule="auto"/>
              <w:jc w:val="center"/>
            </w:pPr>
          </w:p>
        </w:tc>
        <w:tc>
          <w:tcPr>
            <w:tcW w:w="1312" w:type="dxa"/>
          </w:tcPr>
          <w:p w:rsidR="005E1937" w:rsidRPr="00722867" w:rsidRDefault="005E1937" w:rsidP="00F03446">
            <w:pPr>
              <w:spacing w:beforeLines="60" w:before="144" w:afterLines="60" w:after="144" w:line="240" w:lineRule="auto"/>
              <w:jc w:val="center"/>
              <w:rPr>
                <w:b/>
              </w:rPr>
            </w:pPr>
            <w:r w:rsidRPr="00722867">
              <w:rPr>
                <w:b/>
              </w:rPr>
              <w:t>AGENDA ITEM</w:t>
            </w:r>
          </w:p>
        </w:tc>
        <w:tc>
          <w:tcPr>
            <w:tcW w:w="6480" w:type="dxa"/>
          </w:tcPr>
          <w:p w:rsidR="005E1937" w:rsidRPr="00722867" w:rsidRDefault="005E1937" w:rsidP="00F03446">
            <w:pPr>
              <w:spacing w:beforeLines="60" w:before="144" w:afterLines="60" w:after="144" w:line="240" w:lineRule="auto"/>
              <w:jc w:val="center"/>
              <w:rPr>
                <w:b/>
                <w:sz w:val="20"/>
                <w:szCs w:val="20"/>
              </w:rPr>
            </w:pPr>
            <w:r>
              <w:rPr>
                <w:b/>
                <w:sz w:val="20"/>
                <w:szCs w:val="20"/>
              </w:rPr>
              <w:t>NOTES/</w:t>
            </w:r>
            <w:r w:rsidRPr="00722867">
              <w:rPr>
                <w:b/>
                <w:sz w:val="20"/>
                <w:szCs w:val="20"/>
              </w:rPr>
              <w:t>DISCUSSION/FOLLOW-UP/ACTION</w:t>
            </w:r>
          </w:p>
        </w:tc>
        <w:tc>
          <w:tcPr>
            <w:tcW w:w="720" w:type="dxa"/>
          </w:tcPr>
          <w:p w:rsidR="005E1937" w:rsidRPr="00397C90" w:rsidRDefault="005E1937" w:rsidP="00F03446">
            <w:pPr>
              <w:spacing w:beforeLines="60" w:before="144" w:afterLines="60" w:after="144" w:line="240" w:lineRule="auto"/>
              <w:jc w:val="center"/>
              <w:rPr>
                <w:sz w:val="20"/>
                <w:szCs w:val="20"/>
              </w:rPr>
            </w:pPr>
          </w:p>
        </w:tc>
      </w:tr>
      <w:tr w:rsidR="005E1937" w:rsidRPr="00E65219" w:rsidTr="00F03446">
        <w:trPr>
          <w:trHeight w:val="500"/>
        </w:trPr>
        <w:tc>
          <w:tcPr>
            <w:tcW w:w="2551" w:type="dxa"/>
            <w:vMerge/>
          </w:tcPr>
          <w:p w:rsidR="005E1937" w:rsidRDefault="005E1937" w:rsidP="00F03446">
            <w:pPr>
              <w:spacing w:line="240" w:lineRule="auto"/>
              <w:jc w:val="center"/>
              <w:rPr>
                <w:rFonts w:ascii="Nyala" w:eastAsia="Times New Roman" w:hAnsi="Nyala" w:cs="Tahoma"/>
                <w:b/>
                <w:color w:val="2A2003"/>
                <w:kern w:val="28"/>
                <w:sz w:val="24"/>
                <w:szCs w:val="24"/>
              </w:rPr>
            </w:pPr>
          </w:p>
        </w:tc>
        <w:tc>
          <w:tcPr>
            <w:tcW w:w="452" w:type="dxa"/>
          </w:tcPr>
          <w:p w:rsidR="005E1937" w:rsidRPr="00E65219" w:rsidRDefault="005E1937" w:rsidP="00F03446">
            <w:pPr>
              <w:pStyle w:val="ListParagraph"/>
              <w:numPr>
                <w:ilvl w:val="0"/>
                <w:numId w:val="7"/>
              </w:numPr>
              <w:spacing w:beforeLines="60" w:before="144" w:afterLines="60" w:after="144" w:line="240" w:lineRule="auto"/>
              <w:jc w:val="center"/>
            </w:pPr>
          </w:p>
        </w:tc>
        <w:tc>
          <w:tcPr>
            <w:tcW w:w="1312" w:type="dxa"/>
          </w:tcPr>
          <w:p w:rsidR="005E1937" w:rsidRPr="002B7346" w:rsidRDefault="005E1937" w:rsidP="00F03446">
            <w:pPr>
              <w:spacing w:beforeLines="60" w:before="144" w:afterLines="60" w:after="144" w:line="240" w:lineRule="auto"/>
              <w:rPr>
                <w:b/>
              </w:rPr>
            </w:pPr>
            <w:r>
              <w:rPr>
                <w:b/>
              </w:rPr>
              <w:t>Call to Order</w:t>
            </w:r>
          </w:p>
        </w:tc>
        <w:tc>
          <w:tcPr>
            <w:tcW w:w="6480" w:type="dxa"/>
          </w:tcPr>
          <w:p w:rsidR="005E1937" w:rsidRPr="005E1937" w:rsidRDefault="005E1937" w:rsidP="00F03446">
            <w:pPr>
              <w:pStyle w:val="ListParagraph"/>
              <w:numPr>
                <w:ilvl w:val="0"/>
                <w:numId w:val="15"/>
              </w:numPr>
              <w:spacing w:line="240" w:lineRule="auto"/>
              <w:rPr>
                <w:sz w:val="20"/>
                <w:szCs w:val="20"/>
              </w:rPr>
            </w:pPr>
            <w:r>
              <w:rPr>
                <w:sz w:val="20"/>
                <w:szCs w:val="20"/>
              </w:rPr>
              <w:t>Call to order.</w:t>
            </w:r>
          </w:p>
          <w:p w:rsidR="005E1937" w:rsidRPr="00153FE2" w:rsidRDefault="005E1937" w:rsidP="00F03446">
            <w:pPr>
              <w:pStyle w:val="ListParagraph"/>
              <w:numPr>
                <w:ilvl w:val="0"/>
                <w:numId w:val="15"/>
              </w:numPr>
              <w:spacing w:line="240" w:lineRule="auto"/>
              <w:rPr>
                <w:sz w:val="20"/>
                <w:szCs w:val="20"/>
              </w:rPr>
            </w:pPr>
            <w:r>
              <w:rPr>
                <w:sz w:val="20"/>
                <w:szCs w:val="20"/>
              </w:rPr>
              <w:t>Approve Minutes 4/9/18.-Faith and Edie approved.</w:t>
            </w:r>
          </w:p>
        </w:tc>
        <w:tc>
          <w:tcPr>
            <w:tcW w:w="720" w:type="dxa"/>
          </w:tcPr>
          <w:p w:rsidR="005E1937" w:rsidRPr="00397C90" w:rsidRDefault="005E1937" w:rsidP="00F03446">
            <w:pPr>
              <w:spacing w:beforeLines="60" w:before="144" w:afterLines="60" w:after="144" w:line="240" w:lineRule="auto"/>
              <w:jc w:val="center"/>
              <w:rPr>
                <w:sz w:val="20"/>
                <w:szCs w:val="20"/>
              </w:rPr>
            </w:pPr>
            <w:r>
              <w:rPr>
                <w:sz w:val="20"/>
                <w:szCs w:val="20"/>
              </w:rPr>
              <w:t>5 min</w:t>
            </w:r>
          </w:p>
        </w:tc>
      </w:tr>
      <w:tr w:rsidR="005E1937" w:rsidRPr="00E65219" w:rsidTr="00F03446">
        <w:trPr>
          <w:trHeight w:val="989"/>
        </w:trPr>
        <w:tc>
          <w:tcPr>
            <w:tcW w:w="2551" w:type="dxa"/>
            <w:vMerge/>
          </w:tcPr>
          <w:p w:rsidR="005E1937" w:rsidRPr="00E65219" w:rsidRDefault="005E1937" w:rsidP="00F03446">
            <w:pPr>
              <w:spacing w:beforeLines="60" w:before="144" w:afterLines="60" w:after="144" w:line="240" w:lineRule="auto"/>
              <w:jc w:val="center"/>
            </w:pPr>
          </w:p>
        </w:tc>
        <w:tc>
          <w:tcPr>
            <w:tcW w:w="452" w:type="dxa"/>
          </w:tcPr>
          <w:p w:rsidR="005E1937" w:rsidRPr="00E65219" w:rsidRDefault="005E1937" w:rsidP="00F03446">
            <w:pPr>
              <w:pStyle w:val="ListParagraph"/>
              <w:numPr>
                <w:ilvl w:val="0"/>
                <w:numId w:val="7"/>
              </w:numPr>
              <w:spacing w:beforeLines="60" w:before="144" w:afterLines="60" w:after="144" w:line="240" w:lineRule="auto"/>
              <w:jc w:val="center"/>
            </w:pPr>
          </w:p>
        </w:tc>
        <w:tc>
          <w:tcPr>
            <w:tcW w:w="1312" w:type="dxa"/>
          </w:tcPr>
          <w:p w:rsidR="005E1937" w:rsidRPr="0078580A" w:rsidRDefault="005E1937" w:rsidP="00F03446">
            <w:pPr>
              <w:spacing w:beforeLines="60" w:before="144" w:afterLines="60" w:after="144" w:line="240" w:lineRule="auto"/>
              <w:rPr>
                <w:b/>
              </w:rPr>
            </w:pPr>
            <w:r>
              <w:rPr>
                <w:b/>
              </w:rPr>
              <w:t>Assessment Roundtable</w:t>
            </w:r>
          </w:p>
        </w:tc>
        <w:tc>
          <w:tcPr>
            <w:tcW w:w="6480" w:type="dxa"/>
          </w:tcPr>
          <w:p w:rsidR="005E1937" w:rsidRPr="006E3DEE" w:rsidRDefault="005E1937" w:rsidP="00F03446">
            <w:pPr>
              <w:pStyle w:val="ListParagraph"/>
              <w:numPr>
                <w:ilvl w:val="0"/>
                <w:numId w:val="20"/>
              </w:numPr>
              <w:spacing w:beforeLines="60" w:before="144" w:afterLines="60" w:after="144" w:line="240" w:lineRule="auto"/>
              <w:rPr>
                <w:sz w:val="20"/>
                <w:szCs w:val="20"/>
              </w:rPr>
            </w:pPr>
            <w:r>
              <w:rPr>
                <w:sz w:val="20"/>
                <w:szCs w:val="20"/>
              </w:rPr>
              <w:t xml:space="preserve">SLO Assessment example – Brent-Gave an example of how he did his SLO #8, the tool he used was a final exam free response question. He used the percentage of correct responses as his data and showed how he entered it on a spreadsheet. – See website for </w:t>
            </w:r>
            <w:proofErr w:type="spellStart"/>
            <w:r>
              <w:rPr>
                <w:sz w:val="20"/>
                <w:szCs w:val="20"/>
              </w:rPr>
              <w:t>powerpoint</w:t>
            </w:r>
            <w:proofErr w:type="spellEnd"/>
            <w:r>
              <w:rPr>
                <w:sz w:val="20"/>
                <w:szCs w:val="20"/>
              </w:rPr>
              <w:t xml:space="preserve"> presentation</w:t>
            </w:r>
          </w:p>
        </w:tc>
        <w:tc>
          <w:tcPr>
            <w:tcW w:w="720" w:type="dxa"/>
          </w:tcPr>
          <w:p w:rsidR="005E1937" w:rsidRDefault="005E1937" w:rsidP="00F03446">
            <w:pPr>
              <w:spacing w:beforeLines="60" w:before="144" w:afterLines="60" w:after="144" w:line="240" w:lineRule="auto"/>
              <w:jc w:val="center"/>
              <w:rPr>
                <w:sz w:val="20"/>
                <w:szCs w:val="20"/>
              </w:rPr>
            </w:pPr>
            <w:r>
              <w:rPr>
                <w:sz w:val="20"/>
                <w:szCs w:val="20"/>
              </w:rPr>
              <w:t>15 min</w:t>
            </w:r>
          </w:p>
          <w:p w:rsidR="005E1937" w:rsidRDefault="005E1937" w:rsidP="00F03446">
            <w:pPr>
              <w:spacing w:beforeLines="60" w:before="144" w:afterLines="60" w:after="144" w:line="240" w:lineRule="auto"/>
              <w:rPr>
                <w:sz w:val="20"/>
                <w:szCs w:val="20"/>
              </w:rPr>
            </w:pPr>
          </w:p>
        </w:tc>
      </w:tr>
      <w:tr w:rsidR="005E1937" w:rsidRPr="00E65219" w:rsidTr="00F03446">
        <w:trPr>
          <w:trHeight w:val="989"/>
        </w:trPr>
        <w:tc>
          <w:tcPr>
            <w:tcW w:w="2551" w:type="dxa"/>
            <w:vMerge/>
          </w:tcPr>
          <w:p w:rsidR="005E1937" w:rsidRPr="00E65219" w:rsidRDefault="005E1937" w:rsidP="00F03446">
            <w:pPr>
              <w:spacing w:beforeLines="60" w:before="144" w:afterLines="60" w:after="144" w:line="240" w:lineRule="auto"/>
              <w:jc w:val="center"/>
            </w:pPr>
          </w:p>
        </w:tc>
        <w:tc>
          <w:tcPr>
            <w:tcW w:w="452" w:type="dxa"/>
          </w:tcPr>
          <w:p w:rsidR="005E1937" w:rsidRPr="00E65219" w:rsidRDefault="005E1937" w:rsidP="00F03446">
            <w:pPr>
              <w:pStyle w:val="ListParagraph"/>
              <w:numPr>
                <w:ilvl w:val="0"/>
                <w:numId w:val="7"/>
              </w:numPr>
              <w:spacing w:beforeLines="60" w:before="144" w:afterLines="60" w:after="144" w:line="240" w:lineRule="auto"/>
              <w:jc w:val="center"/>
            </w:pPr>
          </w:p>
        </w:tc>
        <w:tc>
          <w:tcPr>
            <w:tcW w:w="1312" w:type="dxa"/>
          </w:tcPr>
          <w:p w:rsidR="005E1937" w:rsidRDefault="005E1937" w:rsidP="00F03446">
            <w:pPr>
              <w:spacing w:beforeLines="60" w:before="144" w:afterLines="60" w:after="144" w:line="240" w:lineRule="auto"/>
              <w:rPr>
                <w:b/>
              </w:rPr>
            </w:pPr>
            <w:r>
              <w:rPr>
                <w:b/>
              </w:rPr>
              <w:t>Ongoing</w:t>
            </w:r>
            <w:r w:rsidRPr="0079424F">
              <w:rPr>
                <w:b/>
              </w:rPr>
              <w:t xml:space="preserve"> Business:</w:t>
            </w:r>
          </w:p>
          <w:p w:rsidR="005E1937" w:rsidRPr="009A300D" w:rsidRDefault="005E1937" w:rsidP="00F03446">
            <w:pPr>
              <w:spacing w:beforeLines="60" w:before="144" w:afterLines="60" w:after="144" w:line="240" w:lineRule="auto"/>
            </w:pPr>
          </w:p>
        </w:tc>
        <w:tc>
          <w:tcPr>
            <w:tcW w:w="6480" w:type="dxa"/>
          </w:tcPr>
          <w:p w:rsidR="005E1937" w:rsidRDefault="005E1937" w:rsidP="00F03446">
            <w:pPr>
              <w:pStyle w:val="ListParagraph"/>
              <w:numPr>
                <w:ilvl w:val="0"/>
                <w:numId w:val="14"/>
              </w:numPr>
              <w:spacing w:beforeLines="60" w:before="144" w:afterLines="60" w:after="144" w:line="240" w:lineRule="auto"/>
              <w:rPr>
                <w:sz w:val="20"/>
                <w:szCs w:val="20"/>
              </w:rPr>
            </w:pPr>
            <w:r>
              <w:rPr>
                <w:sz w:val="20"/>
                <w:szCs w:val="20"/>
              </w:rPr>
              <w:t>Handbook status – Di presented the handbook to the Senate last week. – will have second read on 4/25</w:t>
            </w:r>
          </w:p>
          <w:p w:rsidR="005E1937" w:rsidRDefault="005E1937" w:rsidP="00F03446">
            <w:pPr>
              <w:pStyle w:val="ListParagraph"/>
              <w:numPr>
                <w:ilvl w:val="0"/>
                <w:numId w:val="14"/>
              </w:numPr>
              <w:spacing w:beforeLines="60" w:before="144" w:afterLines="60" w:after="144" w:line="240" w:lineRule="auto"/>
              <w:rPr>
                <w:sz w:val="20"/>
                <w:szCs w:val="20"/>
              </w:rPr>
            </w:pPr>
            <w:proofErr w:type="spellStart"/>
            <w:proofErr w:type="gramStart"/>
            <w:r>
              <w:rPr>
                <w:sz w:val="20"/>
                <w:szCs w:val="20"/>
              </w:rPr>
              <w:t>eLumen</w:t>
            </w:r>
            <w:proofErr w:type="spellEnd"/>
            <w:proofErr w:type="gramEnd"/>
            <w:r>
              <w:rPr>
                <w:sz w:val="20"/>
                <w:szCs w:val="20"/>
              </w:rPr>
              <w:t xml:space="preserve"> workshops – Di reported they are going well, 100 + attendees. Still need many more to attend as there are about 700 faculty. We will be setting up more workshops. Assessments are due May 15</w:t>
            </w:r>
            <w:r w:rsidRPr="001855FA">
              <w:rPr>
                <w:sz w:val="20"/>
                <w:szCs w:val="20"/>
                <w:vertAlign w:val="superscript"/>
              </w:rPr>
              <w:t>th</w:t>
            </w:r>
            <w:r>
              <w:rPr>
                <w:sz w:val="20"/>
                <w:szCs w:val="20"/>
              </w:rPr>
              <w:t xml:space="preserve">. There are some evening workshops planned. Feedback all positive and comments on how easy it </w:t>
            </w:r>
            <w:proofErr w:type="spellStart"/>
            <w:r>
              <w:rPr>
                <w:sz w:val="20"/>
                <w:szCs w:val="20"/>
              </w:rPr>
              <w:t>it</w:t>
            </w:r>
            <w:proofErr w:type="spellEnd"/>
            <w:r>
              <w:rPr>
                <w:sz w:val="20"/>
                <w:szCs w:val="20"/>
              </w:rPr>
              <w:t>.  Someone attended one of the workshops and entered all of his data on his cellphone, said it was easy.</w:t>
            </w:r>
          </w:p>
          <w:p w:rsidR="005E1937" w:rsidRPr="00285183" w:rsidRDefault="005E1937" w:rsidP="00F03446">
            <w:pPr>
              <w:pStyle w:val="ListParagraph"/>
              <w:numPr>
                <w:ilvl w:val="0"/>
                <w:numId w:val="14"/>
              </w:numPr>
              <w:spacing w:beforeLines="60" w:before="144" w:afterLines="60" w:after="144" w:line="240" w:lineRule="auto"/>
              <w:rPr>
                <w:sz w:val="20"/>
                <w:szCs w:val="20"/>
              </w:rPr>
            </w:pPr>
            <w:r>
              <w:rPr>
                <w:sz w:val="20"/>
                <w:szCs w:val="20"/>
              </w:rPr>
              <w:t xml:space="preserve">17-18 SLO Assessments – Pam has created videos, and there are handouts on the Academic Technology website, with a link on Assessment Committee site. </w:t>
            </w:r>
          </w:p>
        </w:tc>
        <w:tc>
          <w:tcPr>
            <w:tcW w:w="720" w:type="dxa"/>
          </w:tcPr>
          <w:p w:rsidR="005E1937" w:rsidRDefault="005E1937" w:rsidP="00F03446">
            <w:pPr>
              <w:spacing w:beforeLines="60" w:before="144" w:afterLines="60" w:after="144" w:line="240" w:lineRule="auto"/>
              <w:jc w:val="center"/>
              <w:rPr>
                <w:sz w:val="20"/>
                <w:szCs w:val="20"/>
              </w:rPr>
            </w:pPr>
            <w:r>
              <w:rPr>
                <w:sz w:val="20"/>
                <w:szCs w:val="20"/>
              </w:rPr>
              <w:t>5 min</w:t>
            </w:r>
          </w:p>
          <w:p w:rsidR="005E1937" w:rsidRDefault="005E1937" w:rsidP="00F03446">
            <w:pPr>
              <w:spacing w:beforeLines="60" w:before="144" w:afterLines="60" w:after="144" w:line="240" w:lineRule="auto"/>
              <w:jc w:val="center"/>
              <w:rPr>
                <w:sz w:val="20"/>
                <w:szCs w:val="20"/>
              </w:rPr>
            </w:pPr>
            <w:r>
              <w:rPr>
                <w:sz w:val="20"/>
                <w:szCs w:val="20"/>
              </w:rPr>
              <w:t>10 min</w:t>
            </w:r>
          </w:p>
          <w:p w:rsidR="005E1937" w:rsidRDefault="005E1937" w:rsidP="00F03446">
            <w:pPr>
              <w:spacing w:beforeLines="60" w:before="144" w:afterLines="60" w:after="144" w:line="240" w:lineRule="auto"/>
              <w:jc w:val="center"/>
              <w:rPr>
                <w:sz w:val="20"/>
                <w:szCs w:val="20"/>
              </w:rPr>
            </w:pPr>
            <w:r>
              <w:rPr>
                <w:sz w:val="20"/>
                <w:szCs w:val="20"/>
              </w:rPr>
              <w:t>10 min</w:t>
            </w:r>
          </w:p>
        </w:tc>
      </w:tr>
      <w:tr w:rsidR="005E1937" w:rsidRPr="00E65219" w:rsidTr="00F03446">
        <w:trPr>
          <w:trHeight w:val="1832"/>
        </w:trPr>
        <w:tc>
          <w:tcPr>
            <w:tcW w:w="2551" w:type="dxa"/>
            <w:vMerge/>
          </w:tcPr>
          <w:p w:rsidR="005E1937" w:rsidRPr="00E65219" w:rsidRDefault="005E1937" w:rsidP="00F03446">
            <w:pPr>
              <w:spacing w:beforeLines="60" w:before="144" w:afterLines="60" w:after="144" w:line="240" w:lineRule="auto"/>
              <w:jc w:val="center"/>
            </w:pPr>
          </w:p>
        </w:tc>
        <w:tc>
          <w:tcPr>
            <w:tcW w:w="452" w:type="dxa"/>
          </w:tcPr>
          <w:p w:rsidR="005E1937" w:rsidRPr="00E65219" w:rsidRDefault="005E1937" w:rsidP="00F03446">
            <w:pPr>
              <w:pStyle w:val="ListParagraph"/>
              <w:numPr>
                <w:ilvl w:val="0"/>
                <w:numId w:val="7"/>
              </w:numPr>
              <w:spacing w:beforeLines="60" w:before="144" w:afterLines="60" w:after="144" w:line="240" w:lineRule="auto"/>
              <w:jc w:val="center"/>
            </w:pPr>
          </w:p>
        </w:tc>
        <w:tc>
          <w:tcPr>
            <w:tcW w:w="1312" w:type="dxa"/>
          </w:tcPr>
          <w:p w:rsidR="005E1937" w:rsidRPr="00A76B3F" w:rsidRDefault="005E1937" w:rsidP="00F03446">
            <w:pPr>
              <w:spacing w:beforeLines="60" w:before="144" w:afterLines="60" w:after="144" w:line="240" w:lineRule="auto"/>
              <w:rPr>
                <w:b/>
              </w:rPr>
            </w:pPr>
            <w:r>
              <w:rPr>
                <w:b/>
              </w:rPr>
              <w:t>Action Items/To Do:</w:t>
            </w:r>
          </w:p>
        </w:tc>
        <w:tc>
          <w:tcPr>
            <w:tcW w:w="6480" w:type="dxa"/>
          </w:tcPr>
          <w:p w:rsidR="005E1937" w:rsidRPr="006E3DEE" w:rsidRDefault="005E1937" w:rsidP="00F03446">
            <w:pPr>
              <w:spacing w:line="240" w:lineRule="auto"/>
              <w:rPr>
                <w:sz w:val="20"/>
                <w:szCs w:val="20"/>
              </w:rPr>
            </w:pPr>
          </w:p>
          <w:p w:rsidR="005E1937" w:rsidRDefault="005E1937" w:rsidP="00F03446">
            <w:pPr>
              <w:pStyle w:val="ListParagraph"/>
              <w:numPr>
                <w:ilvl w:val="0"/>
                <w:numId w:val="16"/>
              </w:numPr>
              <w:spacing w:line="240" w:lineRule="auto"/>
              <w:rPr>
                <w:sz w:val="20"/>
                <w:szCs w:val="20"/>
              </w:rPr>
            </w:pPr>
            <w:r w:rsidRPr="00F300DA">
              <w:rPr>
                <w:sz w:val="20"/>
                <w:szCs w:val="20"/>
              </w:rPr>
              <w:t>Update on Website – Brent Wilson</w:t>
            </w:r>
            <w:r>
              <w:rPr>
                <w:sz w:val="20"/>
                <w:szCs w:val="20"/>
              </w:rPr>
              <w:t xml:space="preserve"> demonstrated the website, and where items were located.</w:t>
            </w:r>
          </w:p>
          <w:p w:rsidR="005E1937" w:rsidRDefault="005E1937" w:rsidP="00F03446">
            <w:pPr>
              <w:pStyle w:val="ListParagraph"/>
              <w:numPr>
                <w:ilvl w:val="0"/>
                <w:numId w:val="16"/>
              </w:numPr>
              <w:spacing w:line="240" w:lineRule="auto"/>
              <w:rPr>
                <w:sz w:val="20"/>
                <w:szCs w:val="20"/>
              </w:rPr>
            </w:pPr>
            <w:r>
              <w:rPr>
                <w:sz w:val="20"/>
                <w:szCs w:val="20"/>
              </w:rPr>
              <w:t xml:space="preserve">Discussion for </w:t>
            </w:r>
            <w:proofErr w:type="gramStart"/>
            <w:r>
              <w:rPr>
                <w:sz w:val="20"/>
                <w:szCs w:val="20"/>
              </w:rPr>
              <w:t>Fall</w:t>
            </w:r>
            <w:proofErr w:type="gramEnd"/>
            <w:r>
              <w:rPr>
                <w:sz w:val="20"/>
                <w:szCs w:val="20"/>
              </w:rPr>
              <w:t xml:space="preserve"> meetings – Brent &amp; Billie Jo mentioned that the meeting next fall will be held on Fridays at 10:30 hoping it will be easier for members to attend.</w:t>
            </w:r>
          </w:p>
          <w:p w:rsidR="005E1937" w:rsidRPr="00A012B2" w:rsidRDefault="005E1937" w:rsidP="00F03446">
            <w:pPr>
              <w:pStyle w:val="ListParagraph"/>
              <w:numPr>
                <w:ilvl w:val="1"/>
                <w:numId w:val="16"/>
              </w:numPr>
              <w:spacing w:line="240" w:lineRule="auto"/>
              <w:rPr>
                <w:sz w:val="20"/>
                <w:szCs w:val="20"/>
              </w:rPr>
            </w:pPr>
            <w:r>
              <w:rPr>
                <w:sz w:val="20"/>
                <w:szCs w:val="20"/>
              </w:rPr>
              <w:t>PLEASE complete the survey Brent sent out on membership for the fall and meeting time</w:t>
            </w:r>
          </w:p>
        </w:tc>
        <w:tc>
          <w:tcPr>
            <w:tcW w:w="720" w:type="dxa"/>
          </w:tcPr>
          <w:p w:rsidR="005E1937" w:rsidRDefault="005E1937" w:rsidP="00F03446">
            <w:pPr>
              <w:spacing w:beforeLines="60" w:before="144" w:afterLines="60" w:after="144" w:line="240" w:lineRule="auto"/>
              <w:jc w:val="center"/>
              <w:rPr>
                <w:sz w:val="20"/>
                <w:szCs w:val="20"/>
              </w:rPr>
            </w:pPr>
            <w:r>
              <w:rPr>
                <w:sz w:val="20"/>
                <w:szCs w:val="20"/>
              </w:rPr>
              <w:t>5 min</w:t>
            </w:r>
          </w:p>
          <w:p w:rsidR="005E1937" w:rsidRDefault="005E1937" w:rsidP="00F03446">
            <w:pPr>
              <w:spacing w:beforeLines="60" w:before="144" w:afterLines="60" w:after="144" w:line="240" w:lineRule="auto"/>
              <w:jc w:val="center"/>
              <w:rPr>
                <w:sz w:val="20"/>
                <w:szCs w:val="20"/>
              </w:rPr>
            </w:pPr>
            <w:r>
              <w:rPr>
                <w:sz w:val="20"/>
                <w:szCs w:val="20"/>
              </w:rPr>
              <w:t>20 min</w:t>
            </w:r>
          </w:p>
          <w:p w:rsidR="005E1937" w:rsidRDefault="005E1937" w:rsidP="00F03446">
            <w:pPr>
              <w:spacing w:beforeLines="60" w:before="144" w:afterLines="60" w:after="144" w:line="240" w:lineRule="auto"/>
              <w:jc w:val="center"/>
              <w:rPr>
                <w:sz w:val="20"/>
                <w:szCs w:val="20"/>
              </w:rPr>
            </w:pPr>
          </w:p>
        </w:tc>
      </w:tr>
      <w:tr w:rsidR="005E1937" w:rsidRPr="00E65219" w:rsidTr="00F03446">
        <w:trPr>
          <w:trHeight w:val="989"/>
        </w:trPr>
        <w:tc>
          <w:tcPr>
            <w:tcW w:w="2551" w:type="dxa"/>
            <w:vMerge/>
          </w:tcPr>
          <w:p w:rsidR="005E1937" w:rsidRPr="00E65219" w:rsidRDefault="005E1937" w:rsidP="00F03446">
            <w:pPr>
              <w:spacing w:beforeLines="60" w:before="144" w:afterLines="60" w:after="144" w:line="240" w:lineRule="auto"/>
              <w:jc w:val="center"/>
            </w:pPr>
          </w:p>
        </w:tc>
        <w:tc>
          <w:tcPr>
            <w:tcW w:w="452" w:type="dxa"/>
          </w:tcPr>
          <w:p w:rsidR="005E1937" w:rsidRPr="00E65219" w:rsidRDefault="005E1937" w:rsidP="00F03446">
            <w:pPr>
              <w:pStyle w:val="ListParagraph"/>
              <w:numPr>
                <w:ilvl w:val="0"/>
                <w:numId w:val="7"/>
              </w:numPr>
              <w:spacing w:beforeLines="60" w:before="144" w:afterLines="60" w:after="144" w:line="240" w:lineRule="auto"/>
              <w:jc w:val="center"/>
            </w:pPr>
          </w:p>
        </w:tc>
        <w:tc>
          <w:tcPr>
            <w:tcW w:w="1312" w:type="dxa"/>
          </w:tcPr>
          <w:p w:rsidR="005E1937" w:rsidRDefault="005E1937" w:rsidP="00F03446">
            <w:pPr>
              <w:spacing w:beforeLines="60" w:before="144" w:afterLines="60" w:after="144" w:line="240" w:lineRule="auto"/>
              <w:rPr>
                <w:b/>
              </w:rPr>
            </w:pPr>
            <w:r>
              <w:rPr>
                <w:b/>
              </w:rPr>
              <w:t>Trainings/Education</w:t>
            </w:r>
          </w:p>
        </w:tc>
        <w:tc>
          <w:tcPr>
            <w:tcW w:w="6480" w:type="dxa"/>
          </w:tcPr>
          <w:p w:rsidR="005E1937" w:rsidRPr="002B7346" w:rsidRDefault="005E1937" w:rsidP="00B21591">
            <w:pPr>
              <w:pStyle w:val="ListParagraph"/>
              <w:numPr>
                <w:ilvl w:val="0"/>
                <w:numId w:val="19"/>
              </w:numPr>
              <w:spacing w:beforeLines="60" w:before="144" w:afterLines="60" w:after="144" w:line="240" w:lineRule="auto"/>
              <w:rPr>
                <w:sz w:val="20"/>
                <w:szCs w:val="20"/>
              </w:rPr>
            </w:pPr>
            <w:r>
              <w:rPr>
                <w:sz w:val="20"/>
                <w:szCs w:val="20"/>
              </w:rPr>
              <w:t xml:space="preserve">AB 705 – Julian West gave a presentation on </w:t>
            </w:r>
            <w:r w:rsidR="00B21591">
              <w:rPr>
                <w:sz w:val="20"/>
                <w:szCs w:val="20"/>
              </w:rPr>
              <w:t>Program completion at BC: A Data Context. It  regarded</w:t>
            </w:r>
            <w:r>
              <w:rPr>
                <w:sz w:val="20"/>
                <w:szCs w:val="20"/>
              </w:rPr>
              <w:t xml:space="preserve"> multi-measure placem</w:t>
            </w:r>
            <w:bookmarkStart w:id="0" w:name="_GoBack"/>
            <w:bookmarkEnd w:id="0"/>
            <w:r>
              <w:rPr>
                <w:sz w:val="20"/>
                <w:szCs w:val="20"/>
              </w:rPr>
              <w:t xml:space="preserve">ent into higher levels of Math and English. The idea is to move students faster through with more support. There was much discussion and questions. Dean Waller spoke about the need to help students succeed in the higher levels and that they get discouraged if it take them years just to get to transfer level. </w:t>
            </w:r>
          </w:p>
        </w:tc>
        <w:tc>
          <w:tcPr>
            <w:tcW w:w="720" w:type="dxa"/>
          </w:tcPr>
          <w:p w:rsidR="005E1937" w:rsidRDefault="005E1937" w:rsidP="00F03446">
            <w:pPr>
              <w:spacing w:beforeLines="60" w:before="144" w:afterLines="60" w:after="144" w:line="240" w:lineRule="auto"/>
              <w:jc w:val="center"/>
              <w:rPr>
                <w:sz w:val="20"/>
                <w:szCs w:val="20"/>
              </w:rPr>
            </w:pPr>
            <w:r>
              <w:rPr>
                <w:sz w:val="20"/>
                <w:szCs w:val="20"/>
              </w:rPr>
              <w:t>10 min</w:t>
            </w:r>
          </w:p>
        </w:tc>
      </w:tr>
      <w:tr w:rsidR="005E1937" w:rsidRPr="00E65219" w:rsidTr="00F03446">
        <w:trPr>
          <w:trHeight w:val="720"/>
        </w:trPr>
        <w:tc>
          <w:tcPr>
            <w:tcW w:w="2551" w:type="dxa"/>
            <w:vMerge/>
          </w:tcPr>
          <w:p w:rsidR="005E1937" w:rsidRPr="00E65219" w:rsidRDefault="005E1937" w:rsidP="00F03446">
            <w:pPr>
              <w:spacing w:beforeLines="60" w:before="144" w:afterLines="60" w:after="144" w:line="240" w:lineRule="auto"/>
              <w:jc w:val="center"/>
            </w:pPr>
          </w:p>
        </w:tc>
        <w:tc>
          <w:tcPr>
            <w:tcW w:w="452" w:type="dxa"/>
          </w:tcPr>
          <w:p w:rsidR="005E1937" w:rsidRPr="00E65219" w:rsidRDefault="005E1937" w:rsidP="00F03446">
            <w:pPr>
              <w:pStyle w:val="ListParagraph"/>
              <w:numPr>
                <w:ilvl w:val="0"/>
                <w:numId w:val="7"/>
              </w:numPr>
              <w:spacing w:beforeLines="60" w:before="144" w:afterLines="60" w:after="144" w:line="240" w:lineRule="auto"/>
              <w:jc w:val="center"/>
            </w:pPr>
          </w:p>
        </w:tc>
        <w:tc>
          <w:tcPr>
            <w:tcW w:w="1312" w:type="dxa"/>
          </w:tcPr>
          <w:p w:rsidR="005E1937" w:rsidRDefault="005E1937" w:rsidP="00F03446">
            <w:pPr>
              <w:spacing w:beforeLines="60" w:before="144" w:afterLines="60" w:after="144" w:line="240" w:lineRule="auto"/>
              <w:rPr>
                <w:b/>
              </w:rPr>
            </w:pPr>
            <w:r>
              <w:rPr>
                <w:b/>
              </w:rPr>
              <w:t>Reports:</w:t>
            </w:r>
          </w:p>
        </w:tc>
        <w:tc>
          <w:tcPr>
            <w:tcW w:w="6480" w:type="dxa"/>
          </w:tcPr>
          <w:p w:rsidR="005E1937" w:rsidRPr="005E1937" w:rsidRDefault="005E1937" w:rsidP="00F03446">
            <w:pPr>
              <w:pStyle w:val="ListParagraph"/>
              <w:numPr>
                <w:ilvl w:val="0"/>
                <w:numId w:val="19"/>
              </w:numPr>
              <w:spacing w:beforeLines="60" w:before="144" w:afterLines="60" w:after="144" w:line="240" w:lineRule="auto"/>
              <w:rPr>
                <w:sz w:val="20"/>
                <w:szCs w:val="20"/>
              </w:rPr>
            </w:pPr>
            <w:r>
              <w:rPr>
                <w:sz w:val="20"/>
                <w:szCs w:val="20"/>
              </w:rPr>
              <w:t>Accomplishments/Highlights for 17-18 – Di</w:t>
            </w:r>
          </w:p>
        </w:tc>
        <w:tc>
          <w:tcPr>
            <w:tcW w:w="720" w:type="dxa"/>
          </w:tcPr>
          <w:p w:rsidR="005E1937" w:rsidRDefault="005E1937" w:rsidP="00F03446">
            <w:pPr>
              <w:spacing w:beforeLines="60" w:before="144" w:afterLines="60" w:after="144" w:line="240" w:lineRule="auto"/>
              <w:jc w:val="center"/>
              <w:rPr>
                <w:sz w:val="20"/>
                <w:szCs w:val="20"/>
              </w:rPr>
            </w:pPr>
            <w:r>
              <w:rPr>
                <w:sz w:val="20"/>
                <w:szCs w:val="20"/>
              </w:rPr>
              <w:t>10 min</w:t>
            </w:r>
          </w:p>
        </w:tc>
      </w:tr>
      <w:tr w:rsidR="005E1937" w:rsidRPr="00E65219" w:rsidTr="00F03446">
        <w:trPr>
          <w:trHeight w:val="797"/>
        </w:trPr>
        <w:tc>
          <w:tcPr>
            <w:tcW w:w="2551" w:type="dxa"/>
            <w:vMerge/>
          </w:tcPr>
          <w:p w:rsidR="005E1937" w:rsidRPr="00E65219" w:rsidRDefault="005E1937" w:rsidP="00F03446">
            <w:pPr>
              <w:spacing w:beforeLines="60" w:before="144" w:afterLines="60" w:after="144" w:line="240" w:lineRule="auto"/>
              <w:jc w:val="center"/>
            </w:pPr>
          </w:p>
        </w:tc>
        <w:tc>
          <w:tcPr>
            <w:tcW w:w="452" w:type="dxa"/>
          </w:tcPr>
          <w:p w:rsidR="005E1937" w:rsidRPr="00E65219" w:rsidRDefault="005E1937" w:rsidP="00F03446">
            <w:pPr>
              <w:pStyle w:val="ListParagraph"/>
              <w:numPr>
                <w:ilvl w:val="0"/>
                <w:numId w:val="7"/>
              </w:numPr>
              <w:spacing w:beforeLines="60" w:before="144" w:afterLines="60" w:after="144" w:line="240" w:lineRule="auto"/>
              <w:jc w:val="center"/>
            </w:pPr>
          </w:p>
        </w:tc>
        <w:tc>
          <w:tcPr>
            <w:tcW w:w="1312" w:type="dxa"/>
          </w:tcPr>
          <w:p w:rsidR="005E1937" w:rsidRDefault="005E1937" w:rsidP="00F03446">
            <w:pPr>
              <w:spacing w:line="240" w:lineRule="auto"/>
              <w:rPr>
                <w:b/>
              </w:rPr>
            </w:pPr>
          </w:p>
          <w:p w:rsidR="005E1937" w:rsidRDefault="005E1937" w:rsidP="00F03446">
            <w:pPr>
              <w:spacing w:line="240" w:lineRule="auto"/>
              <w:rPr>
                <w:b/>
              </w:rPr>
            </w:pPr>
            <w:r>
              <w:rPr>
                <w:b/>
              </w:rPr>
              <w:t>Next meeting:</w:t>
            </w:r>
          </w:p>
        </w:tc>
        <w:tc>
          <w:tcPr>
            <w:tcW w:w="6480" w:type="dxa"/>
          </w:tcPr>
          <w:p w:rsidR="005E1937" w:rsidRDefault="005E1937" w:rsidP="00F03446">
            <w:pPr>
              <w:spacing w:beforeLines="60" w:before="144" w:afterLines="60" w:after="144" w:line="240" w:lineRule="auto"/>
              <w:rPr>
                <w:sz w:val="20"/>
                <w:szCs w:val="20"/>
              </w:rPr>
            </w:pPr>
          </w:p>
          <w:p w:rsidR="005E1937" w:rsidRPr="00285183" w:rsidRDefault="005E1937" w:rsidP="00F03446">
            <w:pPr>
              <w:spacing w:beforeLines="60" w:before="144" w:afterLines="60" w:after="144" w:line="240" w:lineRule="auto"/>
              <w:rPr>
                <w:b/>
                <w:i/>
              </w:rPr>
            </w:pPr>
            <w:r w:rsidRPr="00363F59">
              <w:rPr>
                <w:b/>
                <w:i/>
              </w:rPr>
              <w:t>FALL 2018!!!</w:t>
            </w:r>
          </w:p>
        </w:tc>
        <w:tc>
          <w:tcPr>
            <w:tcW w:w="720" w:type="dxa"/>
          </w:tcPr>
          <w:p w:rsidR="005E1937" w:rsidRDefault="005E1937" w:rsidP="00F03446">
            <w:pPr>
              <w:spacing w:beforeLines="60" w:before="144" w:afterLines="60" w:after="144" w:line="240" w:lineRule="auto"/>
              <w:rPr>
                <w:sz w:val="20"/>
                <w:szCs w:val="20"/>
              </w:rPr>
            </w:pPr>
          </w:p>
        </w:tc>
      </w:tr>
    </w:tbl>
    <w:p w:rsidR="009E102B" w:rsidRDefault="009E102B" w:rsidP="008B28F6">
      <w:pPr>
        <w:spacing w:after="200" w:line="276" w:lineRule="auto"/>
      </w:pPr>
    </w:p>
    <w:sectPr w:rsidR="009E102B" w:rsidSect="00894FC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Nyala">
    <w:altName w:val="Nyala"/>
    <w:panose1 w:val="02000504070300020003"/>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34154"/>
    <w:multiLevelType w:val="hybridMultilevel"/>
    <w:tmpl w:val="D2886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B82D59"/>
    <w:multiLevelType w:val="hybridMultilevel"/>
    <w:tmpl w:val="C61E1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9154CF"/>
    <w:multiLevelType w:val="hybridMultilevel"/>
    <w:tmpl w:val="ABC2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E7AE5"/>
    <w:multiLevelType w:val="hybridMultilevel"/>
    <w:tmpl w:val="67EC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A1396"/>
    <w:multiLevelType w:val="hybridMultilevel"/>
    <w:tmpl w:val="3242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76FA8"/>
    <w:multiLevelType w:val="hybridMultilevel"/>
    <w:tmpl w:val="6C685AD4"/>
    <w:lvl w:ilvl="0" w:tplc="6642615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EB382E"/>
    <w:multiLevelType w:val="hybridMultilevel"/>
    <w:tmpl w:val="DD9E8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178FB"/>
    <w:multiLevelType w:val="hybridMultilevel"/>
    <w:tmpl w:val="347E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82838"/>
    <w:multiLevelType w:val="hybridMultilevel"/>
    <w:tmpl w:val="5660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8679B"/>
    <w:multiLevelType w:val="hybridMultilevel"/>
    <w:tmpl w:val="F7F2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C75DD"/>
    <w:multiLevelType w:val="hybridMultilevel"/>
    <w:tmpl w:val="D14C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E4CC5"/>
    <w:multiLevelType w:val="hybridMultilevel"/>
    <w:tmpl w:val="BAB09ED6"/>
    <w:lvl w:ilvl="0" w:tplc="2CBEFF56">
      <w:start w:val="1"/>
      <w:numFmt w:val="decimal"/>
      <w:lvlText w:val="%1."/>
      <w:lvlJc w:val="left"/>
      <w:pPr>
        <w:ind w:left="360" w:hanging="360"/>
      </w:pPr>
      <w:rPr>
        <w:rFonts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AC0591"/>
    <w:multiLevelType w:val="hybridMultilevel"/>
    <w:tmpl w:val="30E4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112E1"/>
    <w:multiLevelType w:val="hybridMultilevel"/>
    <w:tmpl w:val="C9C0477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4" w15:restartNumberingAfterBreak="0">
    <w:nsid w:val="6D466AE8"/>
    <w:multiLevelType w:val="hybridMultilevel"/>
    <w:tmpl w:val="E9388C4A"/>
    <w:lvl w:ilvl="0" w:tplc="2CBEFF56">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43F9D"/>
    <w:multiLevelType w:val="hybridMultilevel"/>
    <w:tmpl w:val="90EC2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267870"/>
    <w:multiLevelType w:val="hybridMultilevel"/>
    <w:tmpl w:val="CF36E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60C7901"/>
    <w:multiLevelType w:val="hybridMultilevel"/>
    <w:tmpl w:val="73D4298C"/>
    <w:lvl w:ilvl="0" w:tplc="B89CE4F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03866"/>
    <w:multiLevelType w:val="hybridMultilevel"/>
    <w:tmpl w:val="B190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384EC6"/>
    <w:multiLevelType w:val="hybridMultilevel"/>
    <w:tmpl w:val="B2423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6"/>
  </w:num>
  <w:num w:numId="4">
    <w:abstractNumId w:val="5"/>
  </w:num>
  <w:num w:numId="5">
    <w:abstractNumId w:val="12"/>
  </w:num>
  <w:num w:numId="6">
    <w:abstractNumId w:val="14"/>
  </w:num>
  <w:num w:numId="7">
    <w:abstractNumId w:val="11"/>
  </w:num>
  <w:num w:numId="8">
    <w:abstractNumId w:val="0"/>
  </w:num>
  <w:num w:numId="9">
    <w:abstractNumId w:val="16"/>
  </w:num>
  <w:num w:numId="10">
    <w:abstractNumId w:val="1"/>
  </w:num>
  <w:num w:numId="11">
    <w:abstractNumId w:val="18"/>
  </w:num>
  <w:num w:numId="12">
    <w:abstractNumId w:val="17"/>
  </w:num>
  <w:num w:numId="13">
    <w:abstractNumId w:val="8"/>
  </w:num>
  <w:num w:numId="14">
    <w:abstractNumId w:val="15"/>
  </w:num>
  <w:num w:numId="15">
    <w:abstractNumId w:val="4"/>
  </w:num>
  <w:num w:numId="16">
    <w:abstractNumId w:val="7"/>
  </w:num>
  <w:num w:numId="17">
    <w:abstractNumId w:val="3"/>
  </w:num>
  <w:num w:numId="18">
    <w:abstractNumId w:val="19"/>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D9"/>
    <w:rsid w:val="00046311"/>
    <w:rsid w:val="00055B1C"/>
    <w:rsid w:val="00065399"/>
    <w:rsid w:val="000D4A50"/>
    <w:rsid w:val="000F7B6A"/>
    <w:rsid w:val="00106668"/>
    <w:rsid w:val="0014003A"/>
    <w:rsid w:val="0014345C"/>
    <w:rsid w:val="00153FE2"/>
    <w:rsid w:val="001855FA"/>
    <w:rsid w:val="0019577D"/>
    <w:rsid w:val="00196491"/>
    <w:rsid w:val="001D1A31"/>
    <w:rsid w:val="001F186B"/>
    <w:rsid w:val="002633D3"/>
    <w:rsid w:val="00285183"/>
    <w:rsid w:val="00286D86"/>
    <w:rsid w:val="002B7346"/>
    <w:rsid w:val="002D2C26"/>
    <w:rsid w:val="002D6A8A"/>
    <w:rsid w:val="002F04B1"/>
    <w:rsid w:val="00312FEE"/>
    <w:rsid w:val="0033759F"/>
    <w:rsid w:val="00363F59"/>
    <w:rsid w:val="00384AC7"/>
    <w:rsid w:val="00392B90"/>
    <w:rsid w:val="00397C90"/>
    <w:rsid w:val="003B12BD"/>
    <w:rsid w:val="003C7B9F"/>
    <w:rsid w:val="003D4E03"/>
    <w:rsid w:val="0042610F"/>
    <w:rsid w:val="004E7BBC"/>
    <w:rsid w:val="00553D62"/>
    <w:rsid w:val="00580332"/>
    <w:rsid w:val="005C5709"/>
    <w:rsid w:val="005E1937"/>
    <w:rsid w:val="005E329F"/>
    <w:rsid w:val="00610060"/>
    <w:rsid w:val="00645B49"/>
    <w:rsid w:val="00647BB3"/>
    <w:rsid w:val="00671D8B"/>
    <w:rsid w:val="006E3DEE"/>
    <w:rsid w:val="00722867"/>
    <w:rsid w:val="00731ED9"/>
    <w:rsid w:val="0078580A"/>
    <w:rsid w:val="0079424F"/>
    <w:rsid w:val="007C5287"/>
    <w:rsid w:val="007E27AB"/>
    <w:rsid w:val="007F148D"/>
    <w:rsid w:val="008237B7"/>
    <w:rsid w:val="0084312D"/>
    <w:rsid w:val="00881F27"/>
    <w:rsid w:val="00894FC8"/>
    <w:rsid w:val="008974E0"/>
    <w:rsid w:val="008B28F6"/>
    <w:rsid w:val="009A300D"/>
    <w:rsid w:val="009A61B2"/>
    <w:rsid w:val="009B01CE"/>
    <w:rsid w:val="009E102B"/>
    <w:rsid w:val="00A012B2"/>
    <w:rsid w:val="00A15269"/>
    <w:rsid w:val="00A50427"/>
    <w:rsid w:val="00A66552"/>
    <w:rsid w:val="00A75FA5"/>
    <w:rsid w:val="00A76B3F"/>
    <w:rsid w:val="00A77A8D"/>
    <w:rsid w:val="00AB4526"/>
    <w:rsid w:val="00AF1512"/>
    <w:rsid w:val="00B00881"/>
    <w:rsid w:val="00B21591"/>
    <w:rsid w:val="00B30D57"/>
    <w:rsid w:val="00B8621E"/>
    <w:rsid w:val="00BA166B"/>
    <w:rsid w:val="00BA7C82"/>
    <w:rsid w:val="00BE5A7E"/>
    <w:rsid w:val="00C5576B"/>
    <w:rsid w:val="00CD223E"/>
    <w:rsid w:val="00CF1D8E"/>
    <w:rsid w:val="00D43EC6"/>
    <w:rsid w:val="00DB32E5"/>
    <w:rsid w:val="00DC24D5"/>
    <w:rsid w:val="00DC3FF5"/>
    <w:rsid w:val="00E9573F"/>
    <w:rsid w:val="00EA6A07"/>
    <w:rsid w:val="00F03446"/>
    <w:rsid w:val="00F14301"/>
    <w:rsid w:val="00F17B3D"/>
    <w:rsid w:val="00F260F7"/>
    <w:rsid w:val="00F27E68"/>
    <w:rsid w:val="00F300DA"/>
    <w:rsid w:val="00F43653"/>
    <w:rsid w:val="00FB2096"/>
    <w:rsid w:val="00FB7189"/>
    <w:rsid w:val="00FC22C7"/>
    <w:rsid w:val="00FD02FC"/>
    <w:rsid w:val="00FD14EC"/>
    <w:rsid w:val="00FF4362"/>
    <w:rsid w:val="00FF545D"/>
    <w:rsid w:val="16F8D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1D101-9E94-42DC-871C-A7B5E200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D9"/>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ED9"/>
    <w:rPr>
      <w:color w:val="0000FF" w:themeColor="hyperlink"/>
      <w:u w:val="single"/>
    </w:rPr>
  </w:style>
  <w:style w:type="paragraph" w:styleId="ListParagraph">
    <w:name w:val="List Paragraph"/>
    <w:basedOn w:val="Normal"/>
    <w:uiPriority w:val="34"/>
    <w:qFormat/>
    <w:rsid w:val="00CF1D8E"/>
    <w:pPr>
      <w:ind w:left="720"/>
      <w:contextualSpacing/>
    </w:pPr>
  </w:style>
  <w:style w:type="paragraph" w:styleId="BalloonText">
    <w:name w:val="Balloon Text"/>
    <w:basedOn w:val="Normal"/>
    <w:link w:val="BalloonTextChar"/>
    <w:uiPriority w:val="99"/>
    <w:semiHidden/>
    <w:unhideWhenUsed/>
    <w:rsid w:val="00F27E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847679">
      <w:bodyDiv w:val="1"/>
      <w:marLeft w:val="0"/>
      <w:marRight w:val="0"/>
      <w:marTop w:val="0"/>
      <w:marBottom w:val="0"/>
      <w:divBdr>
        <w:top w:val="none" w:sz="0" w:space="0" w:color="auto"/>
        <w:left w:val="none" w:sz="0" w:space="0" w:color="auto"/>
        <w:bottom w:val="none" w:sz="0" w:space="0" w:color="auto"/>
        <w:right w:val="none" w:sz="0" w:space="0" w:color="auto"/>
      </w:divBdr>
    </w:div>
    <w:div w:id="196326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ittees.kccd.edu/bc/committee/assessmen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Pluta</dc:creator>
  <cp:lastModifiedBy>Edie Nelson</cp:lastModifiedBy>
  <cp:revision>2</cp:revision>
  <cp:lastPrinted>2018-04-23T14:52:00Z</cp:lastPrinted>
  <dcterms:created xsi:type="dcterms:W3CDTF">2018-04-30T16:41:00Z</dcterms:created>
  <dcterms:modified xsi:type="dcterms:W3CDTF">2018-04-30T16:41:00Z</dcterms:modified>
</cp:coreProperties>
</file>