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7E706B3E" w:rsidR="00D84AB9" w:rsidRPr="00D84AB9" w:rsidRDefault="00B21AA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10,</w:t>
      </w:r>
      <w:bookmarkStart w:id="0" w:name="_GoBack"/>
      <w:bookmarkEnd w:id="0"/>
      <w:r w:rsidR="00484DE6">
        <w:rPr>
          <w:rFonts w:ascii="Times New Roman" w:hAnsi="Times New Roman" w:cs="Times New Roman"/>
          <w:sz w:val="28"/>
          <w:szCs w:val="24"/>
        </w:rPr>
        <w:t xml:space="preserve"> 2018</w:t>
      </w:r>
    </w:p>
    <w:p w14:paraId="058F8866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14:paraId="796DE81B" w14:textId="76FAA452" w:rsidR="00D84AB9" w:rsidRDefault="00F00C54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Members</w:t>
            </w:r>
          </w:p>
          <w:p w14:paraId="086E41CF" w14:textId="78265061"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Bill Moseley, Jessica Wojtysiak, Todd Coston, Keri Kennedy, </w:t>
            </w:r>
            <w:r w:rsidR="00484DE6">
              <w:rPr>
                <w:rFonts w:ascii="Times New Roman" w:hAnsi="Times New Roman" w:cs="Times New Roman"/>
                <w:sz w:val="24"/>
                <w:szCs w:val="24"/>
              </w:rPr>
              <w:t>Diana Cason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Fulks,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14:paraId="08DF4831" w14:textId="77777777"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14:paraId="6CACE5A4" w14:textId="77777777" w:rsidR="00D84AB9" w:rsidRDefault="00484DE6" w:rsidP="00D84AB9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 xml:space="preserve">Approval of Minutes: </w:t>
            </w:r>
            <w:r w:rsidR="00721C37" w:rsidRPr="002B227E">
              <w:rPr>
                <w:rFonts w:ascii="Times New Roman" w:hAnsi="Times New Roman" w:cs="Times New Roman"/>
              </w:rPr>
              <w:t xml:space="preserve">March </w:t>
            </w:r>
            <w:r w:rsidR="00B21AA9">
              <w:rPr>
                <w:rFonts w:ascii="Times New Roman" w:hAnsi="Times New Roman" w:cs="Times New Roman"/>
              </w:rPr>
              <w:t>20</w:t>
            </w:r>
          </w:p>
          <w:p w14:paraId="552D4D76" w14:textId="07914FBE" w:rsidR="00B21AA9" w:rsidRPr="002B227E" w:rsidRDefault="00B21AA9" w:rsidP="00D84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460190C4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3E527DC4" w14:textId="77777777" w:rsidTr="00D84AB9">
        <w:tc>
          <w:tcPr>
            <w:tcW w:w="625" w:type="dxa"/>
          </w:tcPr>
          <w:p w14:paraId="4E1A290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5CA424E4" w14:textId="3678F9A3" w:rsidR="002B227E" w:rsidRPr="002B227E" w:rsidRDefault="00721C37" w:rsidP="00B21AA9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Assessment Report</w:t>
            </w:r>
            <w:r w:rsidR="002B227E" w:rsidRPr="002B227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5" w:type="dxa"/>
          </w:tcPr>
          <w:p w14:paraId="20281FA3" w14:textId="099FB56A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10FB8D7C" w14:textId="77777777" w:rsidTr="00D84AB9">
        <w:tc>
          <w:tcPr>
            <w:tcW w:w="625" w:type="dxa"/>
          </w:tcPr>
          <w:p w14:paraId="7DAFA1F7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077CE76E" w14:textId="7ED3347B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Program Review Report</w:t>
            </w:r>
          </w:p>
          <w:p w14:paraId="55E571CC" w14:textId="0DA48991" w:rsidR="002B227E" w:rsidRPr="002B227E" w:rsidRDefault="002B227E" w:rsidP="00B2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E4B7CB1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2230734B" w14:textId="77777777" w:rsidTr="00D84AB9">
        <w:tc>
          <w:tcPr>
            <w:tcW w:w="625" w:type="dxa"/>
          </w:tcPr>
          <w:p w14:paraId="1D6F9934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840" w:type="dxa"/>
          </w:tcPr>
          <w:p w14:paraId="2DE081CB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Accreditation &amp; ISER Report</w:t>
            </w:r>
          </w:p>
          <w:p w14:paraId="5D551A7C" w14:textId="462DA367" w:rsidR="002B227E" w:rsidRPr="002B227E" w:rsidRDefault="002B227E" w:rsidP="00B2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4E5E289" w14:textId="17143F75" w:rsidR="00721C37" w:rsidRDefault="00FE4B5F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B21A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721C37" w14:paraId="0D679B2D" w14:textId="77777777" w:rsidTr="00D84AB9">
        <w:tc>
          <w:tcPr>
            <w:tcW w:w="625" w:type="dxa"/>
          </w:tcPr>
          <w:p w14:paraId="37C3CFB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5F9564E5" w14:textId="0DADE154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Strategic Directions Report</w:t>
            </w:r>
            <w:r w:rsidR="00B21AA9">
              <w:rPr>
                <w:rFonts w:ascii="Times New Roman" w:hAnsi="Times New Roman" w:cs="Times New Roman"/>
              </w:rPr>
              <w:t>: 2015-2018 Cycle</w:t>
            </w:r>
          </w:p>
          <w:p w14:paraId="6E03DC7E" w14:textId="0DA0C398" w:rsidR="006160E4" w:rsidRPr="002B227E" w:rsidRDefault="006160E4" w:rsidP="00B2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52EBF24" w14:textId="4B6E6DEB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21AA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721C37" w14:paraId="2A69557F" w14:textId="77777777" w:rsidTr="00D84AB9">
        <w:tc>
          <w:tcPr>
            <w:tcW w:w="625" w:type="dxa"/>
          </w:tcPr>
          <w:p w14:paraId="5AB8D1AE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7F50F339" w14:textId="5633A3B5" w:rsidR="007B3156" w:rsidRPr="002B227E" w:rsidRDefault="00B21AA9" w:rsidP="00B21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Directions Report: 2018-2021</w:t>
            </w:r>
            <w:r w:rsidR="00FE07A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5" w:type="dxa"/>
          </w:tcPr>
          <w:p w14:paraId="5F8FCAF0" w14:textId="30AA79ED" w:rsidR="00721C37" w:rsidRPr="00D84AB9" w:rsidRDefault="00B21AA9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721C37" w14:paraId="0921C628" w14:textId="77777777" w:rsidTr="00D84AB9">
        <w:tc>
          <w:tcPr>
            <w:tcW w:w="625" w:type="dxa"/>
          </w:tcPr>
          <w:p w14:paraId="2601A9BA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840" w:type="dxa"/>
          </w:tcPr>
          <w:p w14:paraId="28D90E14" w14:textId="5D9F7368" w:rsidR="005E32A3" w:rsidRPr="002B227E" w:rsidRDefault="00721C37" w:rsidP="00B21AA9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Spring 2018 Survey</w:t>
            </w:r>
            <w:r w:rsidR="005E32A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5" w:type="dxa"/>
          </w:tcPr>
          <w:p w14:paraId="29FDD003" w14:textId="3C7BF4FB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minutes</w:t>
            </w:r>
          </w:p>
        </w:tc>
      </w:tr>
      <w:tr w:rsidR="00B21AA9" w14:paraId="1A22F529" w14:textId="77777777" w:rsidTr="00D84AB9">
        <w:tc>
          <w:tcPr>
            <w:tcW w:w="625" w:type="dxa"/>
          </w:tcPr>
          <w:p w14:paraId="48726869" w14:textId="610E2CDD" w:rsidR="00B21AA9" w:rsidRDefault="00B21AA9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6840" w:type="dxa"/>
          </w:tcPr>
          <w:p w14:paraId="3EDE90D9" w14:textId="77777777" w:rsidR="00B21AA9" w:rsidRDefault="00B21AA9" w:rsidP="00721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 Updates</w:t>
            </w:r>
          </w:p>
          <w:p w14:paraId="681C6699" w14:textId="62EE00B8" w:rsidR="00B21AA9" w:rsidRPr="002B227E" w:rsidRDefault="00B21AA9" w:rsidP="00721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ACCJC Reports &amp; Gold Star Designation</w:t>
            </w:r>
          </w:p>
        </w:tc>
        <w:tc>
          <w:tcPr>
            <w:tcW w:w="1885" w:type="dxa"/>
          </w:tcPr>
          <w:p w14:paraId="2498EF59" w14:textId="3A070242" w:rsidR="00B21AA9" w:rsidRDefault="00B21AA9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721C37" w14:paraId="3AA08EB3" w14:textId="77777777" w:rsidTr="00D84AB9">
        <w:tc>
          <w:tcPr>
            <w:tcW w:w="625" w:type="dxa"/>
          </w:tcPr>
          <w:p w14:paraId="6FBB8F72" w14:textId="60F7F3C3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6840" w:type="dxa"/>
          </w:tcPr>
          <w:p w14:paraId="097AFAFC" w14:textId="77777777" w:rsidR="00721C37" w:rsidRPr="002B227E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Wrap Up</w:t>
            </w:r>
          </w:p>
        </w:tc>
        <w:tc>
          <w:tcPr>
            <w:tcW w:w="1885" w:type="dxa"/>
          </w:tcPr>
          <w:p w14:paraId="4DFB3EAF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14:paraId="3C8F3BAC" w14:textId="3E2E803E" w:rsidR="00AA16A4" w:rsidRDefault="00AA16A4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18FAA291" w14:textId="77777777" w:rsidR="00AA16A4" w:rsidRDefault="00AA16A4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16A4" w14:paraId="55D6F9E0" w14:textId="77777777" w:rsidTr="00AA16A4">
        <w:tc>
          <w:tcPr>
            <w:tcW w:w="4675" w:type="dxa"/>
          </w:tcPr>
          <w:p w14:paraId="51A0C563" w14:textId="0B250857" w:rsidR="00AA16A4" w:rsidRDefault="00AB5F47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lastRenderedPageBreak/>
              <w:t>Web Pages</w:t>
            </w:r>
          </w:p>
        </w:tc>
        <w:tc>
          <w:tcPr>
            <w:tcW w:w="4675" w:type="dxa"/>
          </w:tcPr>
          <w:p w14:paraId="1FC14DEB" w14:textId="30153C5E" w:rsidR="00AA16A4" w:rsidRDefault="00AB5F47" w:rsidP="00D84AB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Reviewer</w:t>
            </w:r>
          </w:p>
        </w:tc>
      </w:tr>
      <w:tr w:rsidR="00AA16A4" w14:paraId="26E05274" w14:textId="77777777" w:rsidTr="00AA16A4">
        <w:tc>
          <w:tcPr>
            <w:tcW w:w="4675" w:type="dxa"/>
          </w:tcPr>
          <w:p w14:paraId="347D504D" w14:textId="25C495C2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563C1"/>
              </w:rPr>
              <w:t xml:space="preserve">1.      </w:t>
            </w:r>
            <w:hyperlink r:id="rId5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Home page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>  </w:t>
            </w:r>
            <w:hyperlink r:id="rId6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Finals</w:t>
              </w:r>
            </w:hyperlink>
            <w:r w:rsidRPr="00AB5F47">
              <w:rPr>
                <w:rFonts w:ascii="Calibri" w:eastAsia="Times New Roman" w:hAnsi="Calibri" w:cs="Calibri"/>
                <w:color w:val="000000"/>
              </w:rPr>
              <w:t xml:space="preserve">  </w:t>
            </w:r>
          </w:p>
          <w:p w14:paraId="333CE77C" w14:textId="5BEB6520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289431C" w14:textId="0CAE8BAC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Diana</w:t>
            </w:r>
          </w:p>
        </w:tc>
      </w:tr>
      <w:tr w:rsidR="00AA16A4" w14:paraId="4C8145D9" w14:textId="77777777" w:rsidTr="00AA16A4">
        <w:tc>
          <w:tcPr>
            <w:tcW w:w="4675" w:type="dxa"/>
          </w:tcPr>
          <w:p w14:paraId="6560D1E8" w14:textId="7D1AFF14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3.      </w:t>
            </w:r>
            <w:hyperlink r:id="rId7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Step 1: Apply to Attend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   </w:t>
            </w:r>
            <w:hyperlink r:id="rId8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Library</w:t>
              </w:r>
            </w:hyperlink>
          </w:p>
          <w:p w14:paraId="06C7F859" w14:textId="70936260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08F1765" w14:textId="3270A3A7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Sondra &amp; Todd</w:t>
            </w:r>
          </w:p>
        </w:tc>
      </w:tr>
      <w:tr w:rsidR="00AA16A4" w14:paraId="5BD44167" w14:textId="77777777" w:rsidTr="00AA16A4">
        <w:tc>
          <w:tcPr>
            <w:tcW w:w="4675" w:type="dxa"/>
          </w:tcPr>
          <w:p w14:paraId="1BD45819" w14:textId="6B0F8017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5.      </w:t>
            </w:r>
            <w:hyperlink r:id="rId9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Important Dates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 </w:t>
            </w:r>
            <w:hyperlink r:id="rId10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Class Schedule</w:t>
              </w:r>
            </w:hyperlink>
          </w:p>
          <w:p w14:paraId="16616C9A" w14:textId="77777777" w:rsidR="00AA16A4" w:rsidRDefault="00AA16A4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32901076" w14:textId="69447E37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Bill &amp; J</w:t>
            </w:r>
            <w:r w:rsidR="00944730">
              <w:rPr>
                <w:rFonts w:ascii="Times New Roman" w:hAnsi="Times New Roman" w:cs="Times New Roman"/>
                <w:sz w:val="24"/>
                <w:szCs w:val="24"/>
              </w:rPr>
              <w:t>anet</w:t>
            </w:r>
          </w:p>
        </w:tc>
      </w:tr>
      <w:tr w:rsidR="00AA16A4" w14:paraId="1E19F03A" w14:textId="77777777" w:rsidTr="00AA16A4">
        <w:tc>
          <w:tcPr>
            <w:tcW w:w="4675" w:type="dxa"/>
          </w:tcPr>
          <w:p w14:paraId="7A3BC7F5" w14:textId="6D37288C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7.      </w:t>
            </w:r>
            <w:hyperlink r:id="rId11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Register for Classes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hyperlink r:id="rId12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Financial Aid</w:t>
              </w:r>
            </w:hyperlink>
          </w:p>
          <w:p w14:paraId="78DDF1A5" w14:textId="77777777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758C2FFD" w14:textId="4E70678B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Talita &amp; Dena</w:t>
            </w:r>
          </w:p>
        </w:tc>
      </w:tr>
      <w:tr w:rsidR="00AA16A4" w14:paraId="6C555C2E" w14:textId="77777777" w:rsidTr="00AA16A4">
        <w:tc>
          <w:tcPr>
            <w:tcW w:w="4675" w:type="dxa"/>
          </w:tcPr>
          <w:p w14:paraId="5A586D7B" w14:textId="1B369350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9.      </w:t>
            </w:r>
            <w:hyperlink r:id="rId13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Counseling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hyperlink r:id="rId14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Parking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 </w:t>
            </w:r>
            <w:hyperlink r:id="rId15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Enrollment Steps</w:t>
              </w:r>
            </w:hyperlink>
          </w:p>
          <w:p w14:paraId="6421A986" w14:textId="77777777" w:rsidR="00AA16A4" w:rsidRDefault="00AA16A4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7A716C51" w14:textId="48D6188C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Grace, Keri, &amp; Jonathan</w:t>
            </w:r>
          </w:p>
        </w:tc>
      </w:tr>
      <w:tr w:rsidR="00AA16A4" w14:paraId="5AD3C22D" w14:textId="77777777" w:rsidTr="00AA16A4">
        <w:tc>
          <w:tcPr>
            <w:tcW w:w="4675" w:type="dxa"/>
          </w:tcPr>
          <w:p w14:paraId="3AED3981" w14:textId="01B1EB74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12.   </w:t>
            </w:r>
            <w:hyperlink r:id="rId16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Admissions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7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Degrees &amp; Certificates</w:t>
              </w:r>
            </w:hyperlink>
          </w:p>
          <w:p w14:paraId="21BE3B30" w14:textId="39C3CD00" w:rsidR="00AA16A4" w:rsidRDefault="00AB5F47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9F15843" w14:textId="6C03D426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Billie Jo &amp; Craig</w:t>
            </w:r>
          </w:p>
        </w:tc>
      </w:tr>
      <w:tr w:rsidR="00AA16A4" w14:paraId="49CDC223" w14:textId="77777777" w:rsidTr="00AA16A4">
        <w:tc>
          <w:tcPr>
            <w:tcW w:w="4675" w:type="dxa"/>
          </w:tcPr>
          <w:p w14:paraId="2E7D09DA" w14:textId="32D541F8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>14.  </w:t>
            </w:r>
            <w:hyperlink r:id="rId18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Step 3: Placement Test</w:t>
              </w:r>
            </w:hyperlink>
            <w:r w:rsidRPr="00AB5F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hyperlink r:id="rId19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Registered Nursing Application</w:t>
              </w:r>
            </w:hyperlink>
          </w:p>
          <w:p w14:paraId="08CD2F43" w14:textId="4835B8B6" w:rsidR="00AA16A4" w:rsidRDefault="00AB5F47" w:rsidP="00AB5F47">
            <w:pPr>
              <w:ind w:hanging="360"/>
              <w:rPr>
                <w:rFonts w:ascii="Times New Roman" w:hAnsi="Times New Roman" w:cs="Times New Roman"/>
                <w:sz w:val="40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75" w:type="dxa"/>
          </w:tcPr>
          <w:p w14:paraId="429ADAEE" w14:textId="48BBDD25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Kim &amp; Jason</w:t>
            </w:r>
          </w:p>
        </w:tc>
      </w:tr>
      <w:tr w:rsidR="00AB5F47" w14:paraId="744ED351" w14:textId="77777777" w:rsidTr="00AA16A4">
        <w:tc>
          <w:tcPr>
            <w:tcW w:w="4675" w:type="dxa"/>
          </w:tcPr>
          <w:p w14:paraId="2AEC3FDF" w14:textId="7D8734AA" w:rsidR="00AB5F47" w:rsidRDefault="00AB5F47" w:rsidP="00AB5F4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45B0EAD" w14:textId="77777777" w:rsidR="00AB5F47" w:rsidRDefault="00AB5F47" w:rsidP="00D84AB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14:paraId="7E4F2AEB" w14:textId="03AB065C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30FF22C7" w14:textId="78043190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1.      Read the entire page for content. Is the content accurate and current</w:t>
      </w:r>
      <w:r>
        <w:rPr>
          <w:rFonts w:ascii="Calibri" w:eastAsia="Times New Roman" w:hAnsi="Calibri" w:cs="Calibri"/>
          <w:color w:val="000000"/>
        </w:rPr>
        <w:t>?</w:t>
      </w:r>
    </w:p>
    <w:p w14:paraId="46E5F127" w14:textId="77777777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2.      Read the entire page again for spelling and grammar.</w:t>
      </w:r>
    </w:p>
    <w:p w14:paraId="7E613C3B" w14:textId="785CB683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3.      Click each link and make sure the link goes to the correct page. If it is a document, that the document is current and accurate</w:t>
      </w:r>
      <w:r>
        <w:rPr>
          <w:rFonts w:ascii="Calibri" w:eastAsia="Times New Roman" w:hAnsi="Calibri" w:cs="Calibri"/>
          <w:color w:val="000000"/>
        </w:rPr>
        <w:t>.</w:t>
      </w:r>
    </w:p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150D20"/>
    <w:rsid w:val="002B227E"/>
    <w:rsid w:val="003F1683"/>
    <w:rsid w:val="00484DE6"/>
    <w:rsid w:val="004C3095"/>
    <w:rsid w:val="005E32A3"/>
    <w:rsid w:val="006160E4"/>
    <w:rsid w:val="00721C37"/>
    <w:rsid w:val="00732CD1"/>
    <w:rsid w:val="007B3156"/>
    <w:rsid w:val="008F6A52"/>
    <w:rsid w:val="00944730"/>
    <w:rsid w:val="009C0516"/>
    <w:rsid w:val="00AA16A4"/>
    <w:rsid w:val="00AB5D9D"/>
    <w:rsid w:val="00AB5F47"/>
    <w:rsid w:val="00B21AA9"/>
    <w:rsid w:val="00B7072E"/>
    <w:rsid w:val="00C11BAB"/>
    <w:rsid w:val="00D84AB9"/>
    <w:rsid w:val="00EB437F"/>
    <w:rsid w:val="00EF3DFB"/>
    <w:rsid w:val="00F00C54"/>
    <w:rsid w:val="00F37986"/>
    <w:rsid w:val="00FE07AD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kccd.edu/owa/redir.aspx?C=2OabLMiDHb_4CvGFThg2Rd4QDPnv-8fP8TkcTm8hMXRppUdB1oLVCA..&amp;URL=https%3a%2f%2fwww.bakersfieldcollege.edu%2flibrary" TargetMode="External"/><Relationship Id="rId13" Type="http://schemas.openxmlformats.org/officeDocument/2006/relationships/hyperlink" Target="https://owa.kccd.edu/owa/redir.aspx?C=7HiROHdZmiafpSy5S0QtYk2sZok4gXEw40FEy4oZpgNppUdB1oLVCA..&amp;URL=https%3a%2f%2fwww.bakersfieldcollege.edu%2fcounseling" TargetMode="External"/><Relationship Id="rId18" Type="http://schemas.openxmlformats.org/officeDocument/2006/relationships/hyperlink" Target="https://owa.kccd.edu/owa/redir.aspx?C=YCrLfXmSG15qx79X2G8eEU84Ce8hd8uOv_8LUn7JplHJBkpB1oLVCA..&amp;URL=https%3a%2f%2fwww.bakersfieldcollege.edu%2fplace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wa.kccd.edu/owa/redir.aspx?C=mHh-Oj7oKb_SkytHIXIj6VYMrskPOKDT8E8v7cE8wCNppUdB1oLVCA..&amp;URL=https%3a%2f%2fwww.bakersfieldcollege.edu%2fapply" TargetMode="External"/><Relationship Id="rId12" Type="http://schemas.openxmlformats.org/officeDocument/2006/relationships/hyperlink" Target="https://owa.kccd.edu/owa/redir.aspx?C=D5d8YlgbFRjNrkZkl-esdcc8PYlELKpi_B914zBpn_NppUdB1oLVCA..&amp;URL=https%3a%2f%2fwww.bakersfieldcollege.edu%2ffinaid" TargetMode="External"/><Relationship Id="rId17" Type="http://schemas.openxmlformats.org/officeDocument/2006/relationships/hyperlink" Target="https://owa.kccd.edu/owa/redir.aspx?C=W6wDI16S-Y9QAbvKudFrQSVoPaGKnRBsse7039cjDgxppUdB1oLVCA..&amp;URL=https%3a%2f%2fwww.bakersfieldcollege.edu%2facademics%2fdegrees-certific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wa.kccd.edu/owa/redir.aspx?C=5U8VNswPZ2Z9Hl_g8iR4dGGWhHgNrgqde7ltIXsMT1_JBkpB1oLVCA..&amp;URL=https%3a%2f%2fwww.bakersfieldcollege.edu%2fadmission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wa.kccd.edu/owa/redir.aspx?C=Aga00IJyB6hIM0TQPBP6QqvatacyWv8J-TDD-3qxxc3JBkpB1oLVCA..&amp;URL=https%3a%2f%2fwww.bakersfieldcollege.edu%2facademics%2ffinals" TargetMode="External"/><Relationship Id="rId11" Type="http://schemas.openxmlformats.org/officeDocument/2006/relationships/hyperlink" Target="https://owa.kccd.edu/owa/redir.aspx?C=7JkWi3xIcZkYa1-mdI5knG4_zrILWeF8YxkLwbGTgFFppUdB1oLVCA..&amp;URL=https%3a%2f%2fwww.bakersfieldcollege.edu%2fregisterforclasses" TargetMode="External"/><Relationship Id="rId5" Type="http://schemas.openxmlformats.org/officeDocument/2006/relationships/hyperlink" Target="https://owa.kccd.edu/owa/redir.aspx?C=LotyRMN6rFaMMuMNKfAFT9bSgcF771SSgxRW3QUW2ERppUdB1oLVCA..&amp;URL=https%3a%2f%2fwww.bakersfieldcollege.edu%2f" TargetMode="External"/><Relationship Id="rId15" Type="http://schemas.openxmlformats.org/officeDocument/2006/relationships/hyperlink" Target="https://owa.kccd.edu/owa/redir.aspx?C=Eeubd7YtbdpbRTMe_JcI-pGO-bUawPkmm8Hy-qqRf0_JBkpB1oLVCA..&amp;URL=https%3a%2f%2fwww.bakersfieldcollege.edu%2fsteps" TargetMode="External"/><Relationship Id="rId10" Type="http://schemas.openxmlformats.org/officeDocument/2006/relationships/hyperlink" Target="https://owa.kccd.edu/owa/redir.aspx?C=9-es4BsDgCs3bLjQDy63WaE17h2IBXZNCeciaYaXDe5ppUdB1oLVCA..&amp;URL=https%3a%2f%2fwww.bakersfieldcollege.edu%2facademics%2fclass-schedule" TargetMode="External"/><Relationship Id="rId19" Type="http://schemas.openxmlformats.org/officeDocument/2006/relationships/hyperlink" Target="https://owa.kccd.edu/owa/redir.aspx?C=l5Ku2AksDLZ6_qKsmoCHJhsU6borQe2qW3wp8p19x2LJBkpB1oLVCA..&amp;URL=https%3a%2f%2fwww.bakersfieldcollege.edu%2fnursing%2frn%2fappl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wa.kccd.edu/owa/redir.aspx?C=K8JjzDLKtMJnH1kJCDy552B5xMjX6fop9JDFqvsxrl9ppUdB1oLVCA..&amp;URL=https%3a%2f%2fwww.bakersfieldcollege.edu%2fadmissions%2fimportant-dates" TargetMode="External"/><Relationship Id="rId14" Type="http://schemas.openxmlformats.org/officeDocument/2006/relationships/hyperlink" Target="https://owa.kccd.edu/owa/redir.aspx?C=oo8xt_Zc2PsjCg41O0W7WGgicTM246gtzEXFh8ChBYhppUdB1oLVCA..&amp;URL=https%3a%2f%2fwww.bakersfieldcollege.edu%2f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Michael Korcok</cp:lastModifiedBy>
  <cp:revision>2</cp:revision>
  <dcterms:created xsi:type="dcterms:W3CDTF">2018-04-09T05:13:00Z</dcterms:created>
  <dcterms:modified xsi:type="dcterms:W3CDTF">2018-04-09T05:13:00Z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