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23" w:rsidRPr="00E3013D" w:rsidRDefault="00073023" w:rsidP="00073023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073023" w:rsidRPr="00E3013D" w:rsidTr="00140978">
        <w:trPr>
          <w:trHeight w:val="1142"/>
        </w:trPr>
        <w:tc>
          <w:tcPr>
            <w:tcW w:w="10440" w:type="dxa"/>
            <w:gridSpan w:val="3"/>
            <w:shd w:val="clear" w:color="auto" w:fill="C00000"/>
          </w:tcPr>
          <w:p w:rsidR="00073023" w:rsidRPr="00140978" w:rsidRDefault="00073023" w:rsidP="003C4E15">
            <w:pPr>
              <w:spacing w:beforeLines="60" w:before="144" w:afterLines="60" w:after="144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0978">
              <w:rPr>
                <w:b/>
                <w:color w:val="FFFFFF" w:themeColor="background1"/>
                <w:sz w:val="24"/>
                <w:szCs w:val="24"/>
              </w:rPr>
              <w:t>Accreditation &amp; Institutional Quality Committee (AIQ)</w:t>
            </w:r>
          </w:p>
          <w:p w:rsidR="00073023" w:rsidRPr="00140978" w:rsidRDefault="00AC09C8" w:rsidP="003C4E15">
            <w:pPr>
              <w:spacing w:beforeLines="60" w:before="144" w:afterLines="60" w:after="144" w:line="240" w:lineRule="auto"/>
              <w:jc w:val="center"/>
              <w:rPr>
                <w:color w:val="FFFFFF" w:themeColor="background1"/>
              </w:rPr>
            </w:pPr>
            <w:hyperlink r:id="rId5" w:history="1">
              <w:r w:rsidR="00073023" w:rsidRPr="00140978">
                <w:rPr>
                  <w:rStyle w:val="Hyperlink"/>
                  <w:color w:val="FFFFFF" w:themeColor="background1"/>
                </w:rPr>
                <w:t>https://committees.kccd.edu/bc/committee/accreditation</w:t>
              </w:r>
            </w:hyperlink>
          </w:p>
          <w:p w:rsidR="00073023" w:rsidRPr="00E3013D" w:rsidRDefault="00AF692A" w:rsidP="003C4E15">
            <w:pPr>
              <w:spacing w:beforeLines="60" w:before="144" w:afterLines="60" w:after="144" w:line="240" w:lineRule="auto"/>
              <w:jc w:val="center"/>
            </w:pPr>
            <w:r>
              <w:rPr>
                <w:color w:val="FFFFFF" w:themeColor="background1"/>
              </w:rPr>
              <w:t>Tuesday, 3:30-5:00, February 21</w:t>
            </w:r>
            <w:bookmarkStart w:id="0" w:name="_GoBack"/>
            <w:bookmarkEnd w:id="0"/>
            <w:r w:rsidR="00073023" w:rsidRPr="00140978">
              <w:rPr>
                <w:color w:val="FFFFFF" w:themeColor="background1"/>
              </w:rPr>
              <w:t>, 2017</w:t>
            </w:r>
          </w:p>
        </w:tc>
      </w:tr>
      <w:tr w:rsidR="00073023" w:rsidRPr="00E65219" w:rsidTr="003C4E15">
        <w:tc>
          <w:tcPr>
            <w:tcW w:w="450" w:type="dxa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Kennedy, Janet Fulks, Talita Pruett, Jason Stratton (ex officio)</w:t>
            </w:r>
          </w:p>
        </w:tc>
        <w:tc>
          <w:tcPr>
            <w:tcW w:w="1260" w:type="dxa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073023" w:rsidRPr="00E65219" w:rsidTr="003C4E15">
        <w:tc>
          <w:tcPr>
            <w:tcW w:w="450" w:type="dxa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073023" w:rsidRDefault="00073023" w:rsidP="003C4E15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073023" w:rsidRPr="00E65219" w:rsidRDefault="00073023" w:rsidP="00073023">
            <w:pPr>
              <w:spacing w:beforeLines="60" w:before="144" w:afterLines="60" w:after="144" w:line="240" w:lineRule="auto"/>
            </w:pPr>
            <w:r>
              <w:t>Approval of notes for February 7, 2017</w:t>
            </w:r>
          </w:p>
        </w:tc>
      </w:tr>
      <w:tr w:rsidR="00073023" w:rsidRPr="00E65219" w:rsidTr="003C4E15">
        <w:tc>
          <w:tcPr>
            <w:tcW w:w="450" w:type="dxa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073023" w:rsidRDefault="00073023" w:rsidP="00073023">
            <w:pPr>
              <w:spacing w:beforeLines="60" w:before="144" w:afterLines="60" w:after="144" w:line="240" w:lineRule="auto"/>
            </w:pPr>
            <w:r>
              <w:t>Accreditation Update</w:t>
            </w:r>
          </w:p>
          <w:p w:rsidR="00073023" w:rsidRDefault="00073023" w:rsidP="007D1F14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60"/>
            </w:pPr>
            <w:r>
              <w:t>Accreditation Institute</w:t>
            </w:r>
            <w:r w:rsidR="007D1F14">
              <w:t xml:space="preserve">, </w:t>
            </w:r>
            <w:hyperlink r:id="rId6" w:history="1">
              <w:r w:rsidR="007D1F14" w:rsidRPr="00B16169">
                <w:rPr>
                  <w:rStyle w:val="Hyperlink"/>
                </w:rPr>
                <w:t>http://asccc.org/events/2017-02-17-160000-2017-02-19-000000/2017-accreditation-institute</w:t>
              </w:r>
            </w:hyperlink>
            <w:r w:rsidR="007D1F14">
              <w:t xml:space="preserve"> </w:t>
            </w:r>
          </w:p>
          <w:p w:rsidR="00073023" w:rsidRDefault="00073023" w:rsidP="007D1F14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60"/>
            </w:pPr>
            <w:r>
              <w:t>Naming and Saving Evidence</w:t>
            </w:r>
            <w:r w:rsidR="007D1F14">
              <w:t xml:space="preserve"> (posted)</w:t>
            </w:r>
            <w:r>
              <w:t>—Sondra Keckley</w:t>
            </w:r>
          </w:p>
          <w:p w:rsidR="00073023" w:rsidRDefault="00073023" w:rsidP="007D1F14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60"/>
            </w:pPr>
            <w:r>
              <w:t>2017 Annual Report</w:t>
            </w:r>
            <w:r w:rsidR="007D1F14">
              <w:t xml:space="preserve"> due in March (posted)</w:t>
            </w:r>
            <w:r>
              <w:t>—Kate Pluta</w:t>
            </w:r>
          </w:p>
          <w:p w:rsidR="00073023" w:rsidRDefault="00073023" w:rsidP="007D1F14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</w:pPr>
            <w:r>
              <w:t>Setting Institutional Standards (I.B.3:  The institution establishes institution-set standards for student achievement, appropriate to its mission, assesses how well it is achieving them in pursuit of continuous improvement, and publishes this information. (ER11).</w:t>
            </w:r>
          </w:p>
          <w:p w:rsidR="00073023" w:rsidRDefault="00073023" w:rsidP="007D1F1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60"/>
            </w:pPr>
            <w:r>
              <w:t>Self Evaluation (SE):  Liz Rozell and Jason Stratton</w:t>
            </w:r>
          </w:p>
          <w:p w:rsidR="00073023" w:rsidRPr="00E65219" w:rsidRDefault="00073023" w:rsidP="007D1F1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60"/>
            </w:pPr>
            <w:r>
              <w:t xml:space="preserve">Quality Focus Essay (QFE):  Janet Fulks </w:t>
            </w:r>
          </w:p>
        </w:tc>
        <w:tc>
          <w:tcPr>
            <w:tcW w:w="1260" w:type="dxa"/>
          </w:tcPr>
          <w:p w:rsidR="00073023" w:rsidRPr="00E65219" w:rsidRDefault="00073023" w:rsidP="003C4E15">
            <w:pPr>
              <w:spacing w:beforeLines="60" w:before="144" w:afterLines="60" w:after="144" w:line="240" w:lineRule="auto"/>
            </w:pPr>
            <w:r>
              <w:t xml:space="preserve">     75 min</w:t>
            </w:r>
          </w:p>
        </w:tc>
      </w:tr>
      <w:tr w:rsidR="00073023" w:rsidRPr="00E65219" w:rsidTr="003C4E15">
        <w:tc>
          <w:tcPr>
            <w:tcW w:w="450" w:type="dxa"/>
          </w:tcPr>
          <w:p w:rsidR="00073023" w:rsidRDefault="00073023" w:rsidP="003C4E15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073023" w:rsidRDefault="00073023" w:rsidP="003C4E15">
            <w:pPr>
              <w:spacing w:beforeLines="60" w:before="144" w:afterLines="60" w:after="144" w:line="240" w:lineRule="auto"/>
            </w:pPr>
            <w:r>
              <w:t>Strategic Directions: Kate Pluta</w:t>
            </w:r>
          </w:p>
        </w:tc>
        <w:tc>
          <w:tcPr>
            <w:tcW w:w="1260" w:type="dxa"/>
          </w:tcPr>
          <w:p w:rsidR="00073023" w:rsidRDefault="00073023" w:rsidP="003C4E15">
            <w:pPr>
              <w:spacing w:beforeLines="60" w:before="144" w:afterLines="60" w:after="144" w:line="240" w:lineRule="auto"/>
            </w:pPr>
          </w:p>
        </w:tc>
      </w:tr>
    </w:tbl>
    <w:p w:rsidR="00073023" w:rsidRPr="00E65219" w:rsidRDefault="00073023" w:rsidP="00073023">
      <w:pPr>
        <w:spacing w:beforeLines="60" w:before="144" w:afterLines="60" w:after="144" w:line="240" w:lineRule="auto"/>
      </w:pPr>
    </w:p>
    <w:p w:rsidR="00073023" w:rsidRPr="00E65219" w:rsidRDefault="00073023" w:rsidP="00073023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>, February 20, 2017</w:t>
      </w:r>
    </w:p>
    <w:p w:rsidR="00073023" w:rsidRDefault="00073023" w:rsidP="00073023"/>
    <w:p w:rsidR="00073023" w:rsidRDefault="00073023" w:rsidP="00073023"/>
    <w:p w:rsidR="00272E56" w:rsidRDefault="00272E56"/>
    <w:sectPr w:rsidR="00272E56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5B3"/>
    <w:multiLevelType w:val="hybridMultilevel"/>
    <w:tmpl w:val="3C2A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107A"/>
    <w:multiLevelType w:val="hybridMultilevel"/>
    <w:tmpl w:val="F8EA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3"/>
    <w:rsid w:val="00073023"/>
    <w:rsid w:val="00140978"/>
    <w:rsid w:val="00272E56"/>
    <w:rsid w:val="007D1F14"/>
    <w:rsid w:val="00AC09C8"/>
    <w:rsid w:val="00A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1533-68B8-4538-992A-3D6736A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23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3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cc.org/events/2017-02-17-160000-2017-02-19-000000/2017-accreditation-institute" TargetMode="Externa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2</cp:revision>
  <dcterms:created xsi:type="dcterms:W3CDTF">2017-03-03T21:01:00Z</dcterms:created>
  <dcterms:modified xsi:type="dcterms:W3CDTF">2017-03-03T21:01:00Z</dcterms:modified>
</cp:coreProperties>
</file>