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989"/>
        <w:gridCol w:w="1001"/>
      </w:tblGrid>
      <w:tr w:rsidR="004D78D8" w:rsidRPr="00E3013D" w:rsidTr="00927E82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  <w:vAlign w:val="center"/>
          </w:tcPr>
          <w:p w:rsidR="004D78D8" w:rsidRPr="00E65219" w:rsidRDefault="004D78D8" w:rsidP="00927E82">
            <w:pPr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4D78D8" w:rsidRPr="00E3013D" w:rsidRDefault="00C6374C" w:rsidP="00927E82">
            <w:pPr>
              <w:jc w:val="center"/>
            </w:pPr>
            <w:hyperlink r:id="rId6" w:history="1">
              <w:r w:rsidR="004D78D8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4D78D8" w:rsidRDefault="004D78D8" w:rsidP="00927E82">
            <w:pPr>
              <w:jc w:val="center"/>
            </w:pPr>
            <w:r>
              <w:t>AGENDA</w:t>
            </w:r>
          </w:p>
          <w:p w:rsidR="004D78D8" w:rsidRPr="00E3013D" w:rsidRDefault="004D78D8" w:rsidP="005C0061">
            <w:pPr>
              <w:jc w:val="center"/>
            </w:pPr>
            <w:r>
              <w:t xml:space="preserve">Tuesday, 3:30-5:00, February </w:t>
            </w:r>
            <w:r w:rsidR="005C0061">
              <w:t>23</w:t>
            </w:r>
            <w:r>
              <w:t>, 2016</w:t>
            </w:r>
          </w:p>
        </w:tc>
      </w:tr>
      <w:tr w:rsidR="004D78D8" w:rsidRPr="00E65219" w:rsidTr="00927E82">
        <w:tc>
          <w:tcPr>
            <w:tcW w:w="450" w:type="dxa"/>
          </w:tcPr>
          <w:p w:rsidR="004D78D8" w:rsidRPr="00E65219" w:rsidRDefault="004D78D8" w:rsidP="00927E82">
            <w:pPr>
              <w:jc w:val="right"/>
            </w:pPr>
            <w:r>
              <w:t>1</w:t>
            </w:r>
          </w:p>
        </w:tc>
        <w:tc>
          <w:tcPr>
            <w:tcW w:w="9090" w:type="dxa"/>
            <w:vAlign w:val="center"/>
          </w:tcPr>
          <w:p w:rsidR="004D78D8" w:rsidRDefault="004D78D8" w:rsidP="00927E82">
            <w:r>
              <w:t xml:space="preserve">Membership:  </w:t>
            </w:r>
            <w:r w:rsidRPr="00E65219">
              <w:t>Kate Pluta</w:t>
            </w:r>
            <w:r>
              <w:t xml:space="preserve"> (Admin Chair)</w:t>
            </w:r>
            <w:r w:rsidRPr="00E65219">
              <w:t xml:space="preserve">, </w:t>
            </w:r>
            <w:r>
              <w:t>Faculty Chair—Mark Staller</w:t>
            </w:r>
            <w:r w:rsidRPr="00E65219">
              <w:t xml:space="preserve">, </w:t>
            </w:r>
            <w:r>
              <w:t>Khaled Hussain</w:t>
            </w:r>
            <w:r w:rsidRPr="00E65219">
              <w:t xml:space="preserve">, Anthony Culpepper, Liz Rozell, Todd Coston, Lisa Fitzgerald, David Neville, Kimberly Nickell, </w:t>
            </w:r>
            <w:r>
              <w:t>Grace Commiso</w:t>
            </w:r>
            <w:r w:rsidRPr="00E65219">
              <w:t>, Jennifer Jett, Shannon Musser</w:t>
            </w:r>
            <w:r>
              <w:t>, Sondra Keckley, Manuel Zavala</w:t>
            </w:r>
          </w:p>
          <w:p w:rsidR="004D78D8" w:rsidRPr="00D70FC2" w:rsidRDefault="004D78D8" w:rsidP="00927E82">
            <w:pPr>
              <w:rPr>
                <w:i/>
              </w:rPr>
            </w:pPr>
            <w:r w:rsidRPr="00D70FC2">
              <w:rPr>
                <w:i/>
              </w:rPr>
              <w:t>Vacancies:  faculty 3, classified 3, students 1</w:t>
            </w:r>
          </w:p>
          <w:p w:rsidR="004D78D8" w:rsidRDefault="004D78D8" w:rsidP="00927E82">
            <w:r>
              <w:t>Present:</w:t>
            </w:r>
          </w:p>
          <w:p w:rsidR="004D78D8" w:rsidRPr="007F3CCA" w:rsidRDefault="004D78D8" w:rsidP="00927E82">
            <w:pPr>
              <w:rPr>
                <w:i/>
                <w:color w:val="C00000"/>
              </w:rPr>
            </w:pPr>
            <w:r>
              <w:t>Missing: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Pr="00E65219" w:rsidRDefault="004D78D8" w:rsidP="00927E82">
            <w:pPr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4D78D8" w:rsidRDefault="004D78D8" w:rsidP="00927E82">
            <w:r>
              <w:t xml:space="preserve">November 24 Minutes (Nan); February 9 Minutes </w:t>
            </w:r>
            <w:r w:rsidR="00C6374C" w:rsidRPr="00C6374C">
              <w:t>(Liz</w:t>
            </w:r>
            <w:r w:rsidRPr="00C6374C">
              <w:t>)</w:t>
            </w:r>
          </w:p>
          <w:p w:rsidR="004D78D8" w:rsidRDefault="004D78D8" w:rsidP="00927E82">
            <w:r>
              <w:t>Today</w:t>
            </w:r>
            <w:r w:rsidRPr="00E65219">
              <w:t xml:space="preserve">’s Note Taker?  </w:t>
            </w:r>
          </w:p>
          <w:p w:rsidR="004D78D8" w:rsidRPr="00E65219" w:rsidRDefault="004D78D8" w:rsidP="00927E82">
            <w:r>
              <w:t>Treats:  Mark</w:t>
            </w:r>
          </w:p>
        </w:tc>
      </w:tr>
      <w:tr w:rsidR="004D78D8" w:rsidRPr="00E65219" w:rsidTr="00C6374C">
        <w:tc>
          <w:tcPr>
            <w:tcW w:w="450" w:type="dxa"/>
          </w:tcPr>
          <w:p w:rsidR="004D78D8" w:rsidRDefault="004D78D8" w:rsidP="00927E82">
            <w:pPr>
              <w:jc w:val="right"/>
            </w:pPr>
            <w:r>
              <w:t>3</w:t>
            </w:r>
          </w:p>
        </w:tc>
        <w:tc>
          <w:tcPr>
            <w:tcW w:w="9090" w:type="dxa"/>
            <w:vAlign w:val="center"/>
          </w:tcPr>
          <w:p w:rsidR="005C0061" w:rsidRDefault="004D78D8" w:rsidP="005C0061">
            <w:r>
              <w:t>ACCJC update—</w:t>
            </w:r>
          </w:p>
          <w:p w:rsidR="004D78D8" w:rsidRDefault="005C0061" w:rsidP="005C0061">
            <w:r>
              <w:t>Task Force on Accreditation (document moving to Consultation Council)—</w:t>
            </w:r>
            <w:r w:rsidR="00C6374C">
              <w:t xml:space="preserve">Digest-Accreditation-Task-Force </w:t>
            </w:r>
            <w:r>
              <w:t>on webpage</w:t>
            </w:r>
          </w:p>
          <w:p w:rsidR="00C6374C" w:rsidRDefault="00C6374C" w:rsidP="005C0061">
            <w:r>
              <w:t>ACCJC Letter to CA Community Colleges 2_22_2016 on webpage</w:t>
            </w:r>
          </w:p>
          <w:p w:rsidR="005C0061" w:rsidRDefault="005C0061" w:rsidP="005C0061">
            <w:r>
              <w:t>Annual Report form to be distributed February 29 and due March 31.</w:t>
            </w:r>
          </w:p>
        </w:tc>
        <w:tc>
          <w:tcPr>
            <w:tcW w:w="900" w:type="dxa"/>
            <w:vAlign w:val="center"/>
          </w:tcPr>
          <w:p w:rsidR="004D78D8" w:rsidRDefault="00C6374C" w:rsidP="00C6374C">
            <w:pPr>
              <w:jc w:val="center"/>
            </w:pPr>
            <w:r>
              <w:t>Kate</w:t>
            </w:r>
          </w:p>
        </w:tc>
      </w:tr>
      <w:tr w:rsidR="004D78D8" w:rsidRPr="00E65219" w:rsidTr="00C6374C">
        <w:tc>
          <w:tcPr>
            <w:tcW w:w="450" w:type="dxa"/>
          </w:tcPr>
          <w:p w:rsidR="004D78D8" w:rsidRDefault="004D78D8" w:rsidP="00927E82">
            <w:pPr>
              <w:jc w:val="right"/>
            </w:pPr>
            <w:r>
              <w:t>4</w:t>
            </w:r>
          </w:p>
        </w:tc>
        <w:tc>
          <w:tcPr>
            <w:tcW w:w="9090" w:type="dxa"/>
            <w:vAlign w:val="center"/>
          </w:tcPr>
          <w:p w:rsidR="004D78D8" w:rsidRDefault="004D78D8" w:rsidP="005C0061">
            <w:r>
              <w:t>Strategic Directions Report</w:t>
            </w:r>
            <w:r w:rsidR="005C0061">
              <w:t>--update</w:t>
            </w:r>
          </w:p>
        </w:tc>
        <w:tc>
          <w:tcPr>
            <w:tcW w:w="900" w:type="dxa"/>
            <w:vAlign w:val="center"/>
          </w:tcPr>
          <w:p w:rsidR="004D78D8" w:rsidRDefault="00C6374C" w:rsidP="00C6374C">
            <w:pPr>
              <w:jc w:val="center"/>
            </w:pPr>
            <w:r>
              <w:t>Shannon</w:t>
            </w:r>
          </w:p>
        </w:tc>
      </w:tr>
      <w:tr w:rsidR="004D78D8" w:rsidRPr="00E65219" w:rsidTr="00C6374C">
        <w:tc>
          <w:tcPr>
            <w:tcW w:w="450" w:type="dxa"/>
          </w:tcPr>
          <w:p w:rsidR="004D78D8" w:rsidRDefault="004D78D8" w:rsidP="00927E82">
            <w:pPr>
              <w:jc w:val="right"/>
            </w:pPr>
            <w:r>
              <w:t>5</w:t>
            </w:r>
          </w:p>
        </w:tc>
        <w:tc>
          <w:tcPr>
            <w:tcW w:w="9090" w:type="dxa"/>
            <w:vAlign w:val="center"/>
          </w:tcPr>
          <w:p w:rsidR="004D78D8" w:rsidRDefault="005C0061" w:rsidP="005C0061">
            <w:r>
              <w:t>T</w:t>
            </w:r>
            <w:r w:rsidR="004D78D8">
              <w:t>raining/workshops</w:t>
            </w:r>
            <w:r>
              <w:t>:  Friday, March 4 in B4,5,7,8 (no labs)</w:t>
            </w:r>
            <w:r w:rsidR="00C6374C">
              <w:t>; flyer</w:t>
            </w:r>
          </w:p>
        </w:tc>
        <w:tc>
          <w:tcPr>
            <w:tcW w:w="900" w:type="dxa"/>
            <w:vAlign w:val="center"/>
          </w:tcPr>
          <w:p w:rsidR="004D78D8" w:rsidRDefault="00C6374C" w:rsidP="00C6374C">
            <w:pPr>
              <w:jc w:val="center"/>
            </w:pPr>
            <w:r>
              <w:t>Mark</w:t>
            </w: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  <w:r>
              <w:t>6</w:t>
            </w:r>
          </w:p>
        </w:tc>
        <w:tc>
          <w:tcPr>
            <w:tcW w:w="9090" w:type="dxa"/>
            <w:vAlign w:val="center"/>
          </w:tcPr>
          <w:p w:rsidR="004D78D8" w:rsidRDefault="004D78D8" w:rsidP="005C0061">
            <w:r>
              <w:t xml:space="preserve">Surveys—see uploaded </w:t>
            </w:r>
            <w:r w:rsidR="005C0061">
              <w:t>Revised list o</w:t>
            </w:r>
            <w:r>
              <w:t>f BC services</w:t>
            </w:r>
          </w:p>
        </w:tc>
        <w:tc>
          <w:tcPr>
            <w:tcW w:w="900" w:type="dxa"/>
          </w:tcPr>
          <w:p w:rsidR="004D78D8" w:rsidRPr="00E65219" w:rsidRDefault="00C6374C" w:rsidP="00927E82">
            <w:pPr>
              <w:jc w:val="center"/>
            </w:pPr>
            <w:r>
              <w:t>Sondra</w:t>
            </w:r>
            <w:bookmarkStart w:id="0" w:name="_GoBack"/>
            <w:bookmarkEnd w:id="0"/>
          </w:p>
        </w:tc>
      </w:tr>
      <w:tr w:rsidR="004D78D8" w:rsidRPr="00E65219" w:rsidTr="00927E82">
        <w:tc>
          <w:tcPr>
            <w:tcW w:w="450" w:type="dxa"/>
          </w:tcPr>
          <w:p w:rsidR="004D78D8" w:rsidRPr="00E65219" w:rsidRDefault="004D78D8" w:rsidP="00927E82">
            <w:pPr>
              <w:jc w:val="right"/>
            </w:pPr>
            <w:r>
              <w:t>7</w:t>
            </w:r>
          </w:p>
        </w:tc>
        <w:tc>
          <w:tcPr>
            <w:tcW w:w="9090" w:type="dxa"/>
            <w:vAlign w:val="center"/>
          </w:tcPr>
          <w:p w:rsidR="004D78D8" w:rsidRDefault="004D78D8" w:rsidP="00927E82">
            <w:r>
              <w:t>Spring:  2 surveys:  one on District Office services to BC and one on BC services to employees</w:t>
            </w:r>
          </w:p>
          <w:p w:rsidR="004D78D8" w:rsidRDefault="004D78D8" w:rsidP="00927E82">
            <w:r>
              <w:t>probably March</w:t>
            </w:r>
          </w:p>
          <w:p w:rsidR="004D78D8" w:rsidRDefault="004D78D8" w:rsidP="00927E82">
            <w:pPr>
              <w:rPr>
                <w:b/>
                <w:bCs/>
              </w:rPr>
            </w:pPr>
            <w:r>
              <w:rPr>
                <w:b/>
                <w:bCs/>
              </w:rPr>
              <w:t>List of College Services (December 10, 2015)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Bookstore,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Safety (Parking, Security),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Helpdesk (internal and external), 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M &amp; O (Work orders, Repairs, Cleanliness, and Maintenance),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Curriculum Review,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Enrollment Services (Assessment, A &amp; R)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BC HR,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BC Business Office,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Marketing and Public Relations (Web, Graphic Design, Media Public Relations),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Print Shop,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Foundation,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Event Scheduling,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Mailroom,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 xml:space="preserve">Child Development Center, 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Media Services,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Instructional Technology,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Financial Aid,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Facilities,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Library,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Food Service (Cafeteria, , Special Events),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Outreach,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Deans’ Offices,</w:t>
            </w:r>
          </w:p>
          <w:p w:rsidR="004D78D8" w:rsidRDefault="004D78D8" w:rsidP="004D78D8">
            <w:pPr>
              <w:pStyle w:val="ListParagraph"/>
              <w:numPr>
                <w:ilvl w:val="0"/>
                <w:numId w:val="2"/>
              </w:numPr>
            </w:pPr>
            <w:r>
              <w:t>President’s Office support staff</w:t>
            </w:r>
          </w:p>
          <w:p w:rsidR="004D78D8" w:rsidRDefault="004D78D8" w:rsidP="00927E82">
            <w:pPr>
              <w:pStyle w:val="ListParagraph"/>
            </w:pPr>
            <w:r>
              <w:t>Instruction-focused:</w:t>
            </w:r>
          </w:p>
          <w:p w:rsidR="004D78D8" w:rsidRPr="00E65219" w:rsidRDefault="004D78D8" w:rsidP="00927E82">
            <w:pPr>
              <w:pStyle w:val="ListParagraph"/>
            </w:pPr>
            <w:r>
              <w:t>Renegade Room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2D230B" w:rsidRDefault="004D78D8" w:rsidP="00927E82">
            <w:pPr>
              <w:rPr>
                <w:b/>
              </w:rPr>
            </w:pPr>
            <w:r w:rsidRPr="002D230B">
              <w:rPr>
                <w:b/>
              </w:rPr>
              <w:t>Calendar for Strategic Directions fall and spring reports.</w:t>
            </w:r>
          </w:p>
          <w:p w:rsidR="004D78D8" w:rsidRPr="00AA7529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AA7529">
              <w:rPr>
                <w:strike/>
              </w:rPr>
              <w:t>September 15: Finalize report.</w:t>
            </w:r>
          </w:p>
          <w:p w:rsidR="004D78D8" w:rsidRPr="00AA7529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AA7529">
              <w:rPr>
                <w:strike/>
              </w:rPr>
              <w:t xml:space="preserve">September 23:  Send report form to Committee Chairs and others responsible for </w:t>
            </w:r>
            <w:r w:rsidRPr="00AA7529">
              <w:rPr>
                <w:strike/>
              </w:rPr>
              <w:lastRenderedPageBreak/>
              <w:t>reporting out on Strategic Directions Initiatives.</w:t>
            </w:r>
          </w:p>
          <w:p w:rsidR="004D78D8" w:rsidRPr="00AA7529" w:rsidRDefault="004D78D8" w:rsidP="00927E82">
            <w:pPr>
              <w:pStyle w:val="ListParagraph"/>
              <w:numPr>
                <w:ilvl w:val="0"/>
                <w:numId w:val="1"/>
              </w:numPr>
              <w:rPr>
                <w:i/>
                <w:strike/>
              </w:rPr>
            </w:pPr>
            <w:r w:rsidRPr="00AA7529">
              <w:rPr>
                <w:i/>
                <w:strike/>
              </w:rPr>
              <w:t>October 2, 10:30-12:00 Committee Chairs meeting</w:t>
            </w:r>
          </w:p>
          <w:p w:rsidR="004D78D8" w:rsidRPr="00AA7529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AA7529">
              <w:rPr>
                <w:strike/>
              </w:rPr>
              <w:t>Thursday, November 12:  Committee Reports due to AIQ</w:t>
            </w:r>
          </w:p>
          <w:p w:rsidR="004D78D8" w:rsidRPr="004E26C8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4E26C8">
              <w:rPr>
                <w:strike/>
              </w:rPr>
              <w:t>November 24: Prepare Fall Committee Report Analysis</w:t>
            </w:r>
          </w:p>
          <w:p w:rsidR="004D78D8" w:rsidRDefault="004D78D8" w:rsidP="00927E82">
            <w:pPr>
              <w:pStyle w:val="ListParagraph"/>
              <w:numPr>
                <w:ilvl w:val="0"/>
                <w:numId w:val="1"/>
              </w:numPr>
            </w:pPr>
            <w:r w:rsidRPr="004E26C8">
              <w:rPr>
                <w:strike/>
              </w:rPr>
              <w:t>Friday, December 4:  Present report to College Council</w:t>
            </w:r>
            <w:r w:rsidRPr="00AB6CB1">
              <w:t>.</w:t>
            </w:r>
          </w:p>
          <w:p w:rsidR="004D78D8" w:rsidRPr="00D70FC2" w:rsidRDefault="004D78D8" w:rsidP="00927E82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D70FC2">
              <w:rPr>
                <w:strike/>
              </w:rPr>
              <w:t>January 25: Strategic Directions Task Force work on report format and contents</w:t>
            </w:r>
          </w:p>
          <w:p w:rsidR="004D78D8" w:rsidRPr="005C0061" w:rsidRDefault="004D78D8" w:rsidP="00927E82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5C0061">
              <w:rPr>
                <w:b/>
                <w:i/>
              </w:rPr>
              <w:t xml:space="preserve">February </w:t>
            </w:r>
            <w:r w:rsidR="005C0061" w:rsidRPr="005C0061">
              <w:rPr>
                <w:b/>
                <w:i/>
              </w:rPr>
              <w:t>22</w:t>
            </w:r>
            <w:r w:rsidRPr="005C0061">
              <w:rPr>
                <w:i/>
              </w:rPr>
              <w:t xml:space="preserve">:  For AIQ approval: Prepare spring report and send </w:t>
            </w:r>
          </w:p>
          <w:p w:rsidR="004D78D8" w:rsidRPr="00AB6CB1" w:rsidRDefault="004D78D8" w:rsidP="00927E82">
            <w:pPr>
              <w:pStyle w:val="ListParagraph"/>
              <w:numPr>
                <w:ilvl w:val="0"/>
                <w:numId w:val="1"/>
              </w:numPr>
            </w:pPr>
            <w:r>
              <w:t>March:  Surveys</w:t>
            </w:r>
          </w:p>
          <w:p w:rsidR="004D78D8" w:rsidRPr="00AB6CB1" w:rsidRDefault="004D78D8" w:rsidP="00927E82">
            <w:pPr>
              <w:pStyle w:val="ListParagraph"/>
              <w:numPr>
                <w:ilvl w:val="0"/>
                <w:numId w:val="1"/>
              </w:numPr>
            </w:pPr>
            <w:r w:rsidRPr="00AB6CB1">
              <w:t>Thursday, April 21: Year-End Committee Reports due to AIQ</w:t>
            </w:r>
          </w:p>
          <w:p w:rsidR="004D78D8" w:rsidRPr="00AB6CB1" w:rsidRDefault="004D78D8" w:rsidP="00927E82">
            <w:pPr>
              <w:pStyle w:val="ListParagraph"/>
              <w:numPr>
                <w:ilvl w:val="0"/>
                <w:numId w:val="1"/>
              </w:numPr>
            </w:pPr>
            <w:r w:rsidRPr="00AB6CB1">
              <w:t>April 26:  Prepare Spring Committee Report Analysis</w:t>
            </w:r>
          </w:p>
          <w:p w:rsidR="004D78D8" w:rsidRDefault="004D78D8" w:rsidP="00927E82">
            <w:pPr>
              <w:pStyle w:val="ListParagraph"/>
              <w:numPr>
                <w:ilvl w:val="0"/>
                <w:numId w:val="1"/>
              </w:numPr>
            </w:pPr>
            <w:r w:rsidRPr="00AB6CB1">
              <w:t>Friday, May 6:  Second Annual Year-End Leadership Retreat; AIQ presents report to College Council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4B401D" w:rsidRDefault="004D78D8" w:rsidP="00927E82">
            <w:r w:rsidRPr="004B401D">
              <w:rPr>
                <w:b/>
              </w:rPr>
              <w:t>Treat Schedule</w:t>
            </w:r>
            <w:r w:rsidRPr="004B401D">
              <w:t>:</w:t>
            </w:r>
          </w:p>
          <w:p w:rsidR="004D78D8" w:rsidRPr="004B401D" w:rsidRDefault="004D78D8" w:rsidP="00927E82">
            <w:r>
              <w:t>January 26  Liz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4B401D" w:rsidRDefault="004D78D8" w:rsidP="00927E82">
            <w:r w:rsidRPr="004B401D">
              <w:t>February 9  Kate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4B401D" w:rsidRDefault="004D78D8" w:rsidP="00927E82">
            <w:r>
              <w:t>February 23 Mark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March 8  Todd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March 21-25 spring recess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March 29  Shannon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April 12  Kim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 xml:space="preserve">April 26  Sondra 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  <w:tr w:rsidR="004D78D8" w:rsidRPr="00E65219" w:rsidTr="00927E82">
        <w:tc>
          <w:tcPr>
            <w:tcW w:w="450" w:type="dxa"/>
          </w:tcPr>
          <w:p w:rsidR="004D78D8" w:rsidRDefault="004D78D8" w:rsidP="00927E82">
            <w:pPr>
              <w:jc w:val="right"/>
            </w:pPr>
          </w:p>
        </w:tc>
        <w:tc>
          <w:tcPr>
            <w:tcW w:w="9090" w:type="dxa"/>
            <w:vAlign w:val="center"/>
          </w:tcPr>
          <w:p w:rsidR="004D78D8" w:rsidRPr="00D70FC2" w:rsidRDefault="004D78D8" w:rsidP="00927E82">
            <w:r w:rsidRPr="00D70FC2">
              <w:t>May 10  Khaled</w:t>
            </w:r>
          </w:p>
        </w:tc>
        <w:tc>
          <w:tcPr>
            <w:tcW w:w="900" w:type="dxa"/>
          </w:tcPr>
          <w:p w:rsidR="004D78D8" w:rsidRPr="00E65219" w:rsidRDefault="004D78D8" w:rsidP="00927E82">
            <w:pPr>
              <w:jc w:val="center"/>
            </w:pPr>
          </w:p>
        </w:tc>
      </w:tr>
    </w:tbl>
    <w:p w:rsidR="004D78D8" w:rsidRDefault="004D78D8" w:rsidP="004D78D8"/>
    <w:p w:rsidR="004D78D8" w:rsidRDefault="004D78D8" w:rsidP="004D78D8">
      <w:r>
        <w:t xml:space="preserve">Rev. February 8, 2016 </w:t>
      </w:r>
      <w:proofErr w:type="spellStart"/>
      <w:r>
        <w:t>krp</w:t>
      </w:r>
      <w:proofErr w:type="spellEnd"/>
    </w:p>
    <w:p w:rsidR="00C85D68" w:rsidRDefault="00C85D68"/>
    <w:sectPr w:rsidR="00C85D68" w:rsidSect="0029623A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0E6"/>
    <w:multiLevelType w:val="hybridMultilevel"/>
    <w:tmpl w:val="A964F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1605"/>
    <w:multiLevelType w:val="hybridMultilevel"/>
    <w:tmpl w:val="CFE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D8"/>
    <w:rsid w:val="004D78D8"/>
    <w:rsid w:val="005C0061"/>
    <w:rsid w:val="00C6374C"/>
    <w:rsid w:val="00C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accredit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2016-02-23T14:31:00Z</dcterms:created>
  <dcterms:modified xsi:type="dcterms:W3CDTF">2016-02-23T14:31:00Z</dcterms:modified>
</cp:coreProperties>
</file>