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CA" w:rsidRDefault="005E3390" w:rsidP="0028720B">
      <w:pPr>
        <w:spacing w:line="240" w:lineRule="auto"/>
        <w:rPr>
          <w:b/>
        </w:rPr>
      </w:pPr>
      <w:r w:rsidRPr="005E3390">
        <w:rPr>
          <w:b/>
          <w:noProof/>
        </w:rPr>
        <mc:AlternateContent>
          <mc:Choice Requires="wps">
            <w:drawing>
              <wp:anchor distT="0" distB="0" distL="114300" distR="114300" simplePos="0" relativeHeight="251665408" behindDoc="0" locked="0" layoutInCell="1" allowOverlap="1" wp14:anchorId="202523F7" wp14:editId="4BE17FE4">
                <wp:simplePos x="0" y="0"/>
                <wp:positionH relativeFrom="column">
                  <wp:posOffset>66675</wp:posOffset>
                </wp:positionH>
                <wp:positionV relativeFrom="paragraph">
                  <wp:posOffset>-428625</wp:posOffset>
                </wp:positionV>
                <wp:extent cx="5800725" cy="5429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42925"/>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rsidR="005E3390" w:rsidRDefault="005E3390" w:rsidP="000D60BA">
                            <w:pPr>
                              <w:spacing w:line="360" w:lineRule="auto"/>
                              <w:jc w:val="center"/>
                              <w:rPr>
                                <w:b/>
                              </w:rPr>
                            </w:pPr>
                            <w:r w:rsidRPr="00EA0A8B">
                              <w:rPr>
                                <w:b/>
                              </w:rPr>
                              <w:t>A</w:t>
                            </w:r>
                            <w:r>
                              <w:rPr>
                                <w:b/>
                              </w:rPr>
                              <w:t>ccreditation &amp; Institutional Quality (A</w:t>
                            </w:r>
                            <w:r w:rsidRPr="00EA0A8B">
                              <w:rPr>
                                <w:b/>
                              </w:rPr>
                              <w:t>IQ</w:t>
                            </w:r>
                            <w:r>
                              <w:rPr>
                                <w:b/>
                              </w:rPr>
                              <w:t>)</w:t>
                            </w:r>
                            <w:r w:rsidRPr="00EA0A8B">
                              <w:rPr>
                                <w:b/>
                              </w:rPr>
                              <w:t xml:space="preserve"> Report</w:t>
                            </w:r>
                          </w:p>
                          <w:p w:rsidR="005E3390" w:rsidRDefault="005E3390" w:rsidP="000D60BA">
                            <w:pPr>
                              <w:spacing w:line="360" w:lineRule="auto"/>
                              <w:jc w:val="center"/>
                            </w:pPr>
                            <w:r w:rsidRPr="00EA0A8B">
                              <w:rPr>
                                <w:b/>
                              </w:rPr>
                              <w:t xml:space="preserve">October </w:t>
                            </w:r>
                            <w:r>
                              <w:rPr>
                                <w:b/>
                              </w:rPr>
                              <w:t>14</w:t>
                            </w:r>
                            <w:r w:rsidRPr="00EA0A8B">
                              <w:rPr>
                                <w:b/>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33.75pt;width:456.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" fillcolor="white [3201]" strokecolor="#c0504d [3205]" strokeweight="3pt">
                <v:textbox>
                  <w:txbxContent>
                    <w:p w:rsidR="005E3390" w:rsidRDefault="005E3390" w:rsidP="000D60BA">
                      <w:pPr>
                        <w:spacing w:line="360" w:lineRule="auto"/>
                        <w:jc w:val="center"/>
                        <w:rPr>
                          <w:b/>
                        </w:rPr>
                      </w:pPr>
                      <w:r w:rsidRPr="00EA0A8B">
                        <w:rPr>
                          <w:b/>
                        </w:rPr>
                        <w:t>A</w:t>
                      </w:r>
                      <w:r>
                        <w:rPr>
                          <w:b/>
                        </w:rPr>
                        <w:t>ccreditation &amp; Institutional Quality (A</w:t>
                      </w:r>
                      <w:r w:rsidRPr="00EA0A8B">
                        <w:rPr>
                          <w:b/>
                        </w:rPr>
                        <w:t>IQ</w:t>
                      </w:r>
                      <w:r>
                        <w:rPr>
                          <w:b/>
                        </w:rPr>
                        <w:t>)</w:t>
                      </w:r>
                      <w:r w:rsidRPr="00EA0A8B">
                        <w:rPr>
                          <w:b/>
                        </w:rPr>
                        <w:t xml:space="preserve"> Report</w:t>
                      </w:r>
                    </w:p>
                    <w:p w:rsidR="005E3390" w:rsidRDefault="005E3390" w:rsidP="000D60BA">
                      <w:pPr>
                        <w:spacing w:line="360" w:lineRule="auto"/>
                        <w:jc w:val="center"/>
                      </w:pPr>
                      <w:r w:rsidRPr="00EA0A8B">
                        <w:rPr>
                          <w:b/>
                        </w:rPr>
                        <w:t xml:space="preserve">October </w:t>
                      </w:r>
                      <w:r>
                        <w:rPr>
                          <w:b/>
                        </w:rPr>
                        <w:t>14</w:t>
                      </w:r>
                      <w:r w:rsidRPr="00EA0A8B">
                        <w:rPr>
                          <w:b/>
                        </w:rPr>
                        <w:t>, 2015</w:t>
                      </w:r>
                    </w:p>
                  </w:txbxContent>
                </v:textbox>
              </v:shape>
            </w:pict>
          </mc:Fallback>
        </mc:AlternateContent>
      </w:r>
    </w:p>
    <w:p w:rsidR="00AB14FA" w:rsidRDefault="00AB14FA" w:rsidP="0028720B">
      <w:pPr>
        <w:spacing w:line="240" w:lineRule="auto"/>
        <w:rPr>
          <w:b/>
        </w:rPr>
      </w:pPr>
    </w:p>
    <w:p w:rsidR="0028720B" w:rsidRPr="00EA0A8B" w:rsidRDefault="00E81C0D" w:rsidP="0028720B">
      <w:pPr>
        <w:spacing w:line="240" w:lineRule="auto"/>
        <w:rPr>
          <w:b/>
        </w:rPr>
      </w:pPr>
      <w:r>
        <w:rPr>
          <w:b/>
        </w:rPr>
        <w:t xml:space="preserve">Committee activities </w:t>
      </w:r>
      <w:r w:rsidR="00663768">
        <w:rPr>
          <w:b/>
        </w:rPr>
        <w:t xml:space="preserve">this semester </w:t>
      </w:r>
      <w:r>
        <w:rPr>
          <w:b/>
        </w:rPr>
        <w:t>f</w:t>
      </w:r>
      <w:r w:rsidR="0028720B">
        <w:rPr>
          <w:b/>
        </w:rPr>
        <w:t>ocus</w:t>
      </w:r>
      <w:r>
        <w:rPr>
          <w:b/>
        </w:rPr>
        <w:t xml:space="preserve"> on</w:t>
      </w:r>
      <w:r w:rsidR="0028720B">
        <w:rPr>
          <w:b/>
        </w:rPr>
        <w:t>:</w:t>
      </w:r>
    </w:p>
    <w:p w:rsidR="00505736" w:rsidRDefault="00AB14FA" w:rsidP="0028720B">
      <w:pPr>
        <w:pStyle w:val="ListParagraph"/>
        <w:numPr>
          <w:ilvl w:val="0"/>
          <w:numId w:val="1"/>
        </w:numPr>
        <w:spacing w:line="240" w:lineRule="auto"/>
        <w:ind w:left="360"/>
      </w:pPr>
      <w:r>
        <w:t xml:space="preserve">Developing </w:t>
      </w:r>
      <w:r w:rsidR="00663768">
        <w:t xml:space="preserve">reporting process for work on </w:t>
      </w:r>
      <w:r w:rsidR="00505736">
        <w:t>Strategic Direct</w:t>
      </w:r>
      <w:r w:rsidR="00663768">
        <w:t>ions Initiatives.</w:t>
      </w:r>
    </w:p>
    <w:p w:rsidR="000A5EAD" w:rsidRDefault="000A5EAD" w:rsidP="0028720B">
      <w:pPr>
        <w:pStyle w:val="ListParagraph"/>
        <w:numPr>
          <w:ilvl w:val="0"/>
          <w:numId w:val="1"/>
        </w:numPr>
        <w:spacing w:line="240" w:lineRule="auto"/>
        <w:ind w:left="360"/>
      </w:pPr>
      <w:r>
        <w:t>Analyzing work on Strategic Directions Initiatives.</w:t>
      </w:r>
    </w:p>
    <w:p w:rsidR="00505736" w:rsidRDefault="00172E20" w:rsidP="0028720B">
      <w:pPr>
        <w:pStyle w:val="ListParagraph"/>
        <w:numPr>
          <w:ilvl w:val="0"/>
          <w:numId w:val="1"/>
        </w:numPr>
        <w:spacing w:line="240" w:lineRule="auto"/>
        <w:ind w:left="360"/>
      </w:pPr>
      <w:r>
        <w:t xml:space="preserve">Developing </w:t>
      </w:r>
      <w:r w:rsidR="00663768">
        <w:t xml:space="preserve">annual </w:t>
      </w:r>
      <w:r w:rsidR="00505736">
        <w:t xml:space="preserve">surveys on perception of effectiveness of college services and district services to </w:t>
      </w:r>
      <w:r w:rsidR="00AB14FA">
        <w:t xml:space="preserve">the </w:t>
      </w:r>
      <w:r w:rsidR="00505736">
        <w:t>colleges.</w:t>
      </w:r>
    </w:p>
    <w:p w:rsidR="00505736" w:rsidRDefault="008871C8" w:rsidP="0028720B">
      <w:pPr>
        <w:pStyle w:val="ListParagraph"/>
        <w:numPr>
          <w:ilvl w:val="0"/>
          <w:numId w:val="1"/>
        </w:numPr>
        <w:spacing w:line="240" w:lineRule="auto"/>
        <w:ind w:left="360"/>
      </w:pPr>
      <w:r>
        <w:t>Examining documents arguing whether CCC’s should retain or remove the</w:t>
      </w:r>
      <w:r w:rsidR="00505736">
        <w:t xml:space="preserve"> ACCJC </w:t>
      </w:r>
      <w:r w:rsidR="00AB14FA">
        <w:t xml:space="preserve">(Accrediting Commission for Community and Junior Colleges) </w:t>
      </w:r>
      <w:r w:rsidR="00505736">
        <w:t>as our regional accrediting commission</w:t>
      </w:r>
      <w:r>
        <w:t>.</w:t>
      </w:r>
    </w:p>
    <w:p w:rsidR="000A5EAD" w:rsidRDefault="000A5EAD" w:rsidP="0028720B">
      <w:pPr>
        <w:pStyle w:val="ListParagraph"/>
        <w:numPr>
          <w:ilvl w:val="0"/>
          <w:numId w:val="1"/>
        </w:numPr>
        <w:spacing w:line="240" w:lineRule="auto"/>
        <w:ind w:left="360"/>
      </w:pPr>
      <w:r>
        <w:t xml:space="preserve">Voting to make recommendations to Academic Senate, College Council, and CCA regarding the </w:t>
      </w:r>
      <w:proofErr w:type="gramStart"/>
      <w:r>
        <w:t xml:space="preserve">2015 </w:t>
      </w:r>
      <w:r w:rsidR="00087F2A">
        <w:t xml:space="preserve"> Task</w:t>
      </w:r>
      <w:proofErr w:type="gramEnd"/>
      <w:r w:rsidR="00087F2A">
        <w:t xml:space="preserve"> Force on Accreditation</w:t>
      </w:r>
      <w:r>
        <w:t xml:space="preserve"> from the Chancellor’s Office.</w:t>
      </w:r>
    </w:p>
    <w:p w:rsidR="0028720B" w:rsidRDefault="0028720B" w:rsidP="0028720B">
      <w:pPr>
        <w:spacing w:line="240" w:lineRule="auto"/>
      </w:pPr>
    </w:p>
    <w:p w:rsidR="0028720B" w:rsidRPr="00536C10" w:rsidRDefault="0028720B" w:rsidP="0028720B">
      <w:pPr>
        <w:spacing w:line="240" w:lineRule="auto"/>
        <w:rPr>
          <w:b/>
        </w:rPr>
      </w:pPr>
      <w:r w:rsidRPr="00536C10">
        <w:rPr>
          <w:b/>
        </w:rPr>
        <w:t>The summary is in response to #</w:t>
      </w:r>
      <w:r w:rsidR="000A5EAD">
        <w:rPr>
          <w:b/>
        </w:rPr>
        <w:t>4 and #5</w:t>
      </w:r>
      <w:r w:rsidRPr="00536C10">
        <w:rPr>
          <w:b/>
        </w:rPr>
        <w:t>:</w:t>
      </w:r>
    </w:p>
    <w:p w:rsidR="00505736" w:rsidRDefault="00505736" w:rsidP="0028720B">
      <w:pPr>
        <w:spacing w:line="240" w:lineRule="auto"/>
      </w:pPr>
      <w:r>
        <w:t>Only 37 of the California Community Colleges have not received</w:t>
      </w:r>
      <w:r w:rsidR="00EA0A8B">
        <w:t xml:space="preserve"> a</w:t>
      </w:r>
      <w:r>
        <w:t xml:space="preserve"> sanction</w:t>
      </w:r>
      <w:r w:rsidR="00F45AB4">
        <w:rPr>
          <w:rStyle w:val="FootnoteReference"/>
        </w:rPr>
        <w:footnoteReference w:id="1"/>
      </w:r>
      <w:r>
        <w:t xml:space="preserve"> in the last ten years.   BC is one of them.  </w:t>
      </w:r>
      <w:r w:rsidR="00EA0A8B">
        <w:t>S</w:t>
      </w:r>
      <w:r>
        <w:t xml:space="preserve">ome </w:t>
      </w:r>
      <w:r w:rsidR="0028720B">
        <w:t xml:space="preserve">schools </w:t>
      </w:r>
      <w:r>
        <w:t xml:space="preserve">have had </w:t>
      </w:r>
      <w:r w:rsidR="00EA0A8B">
        <w:t>difficulty getting off sanction and had divisive experien</w:t>
      </w:r>
      <w:r w:rsidR="008871C8">
        <w:t>ces dealing with the process.  O</w:t>
      </w:r>
      <w:r w:rsidR="00EA0A8B">
        <w:t>thers have viewed sanctions as a way to finally get</w:t>
      </w:r>
      <w:r w:rsidR="0028720B">
        <w:t xml:space="preserve"> administration or the college </w:t>
      </w:r>
      <w:r w:rsidR="00EA0A8B">
        <w:t xml:space="preserve">on the right path.  </w:t>
      </w:r>
    </w:p>
    <w:p w:rsidR="00EA0A8B" w:rsidRDefault="00EA0A8B" w:rsidP="0028720B">
      <w:pPr>
        <w:spacing w:line="240" w:lineRule="auto"/>
      </w:pPr>
    </w:p>
    <w:p w:rsidR="00EA0A8B" w:rsidRDefault="00EA0A8B" w:rsidP="0028720B">
      <w:pPr>
        <w:spacing w:line="240" w:lineRule="auto"/>
      </w:pPr>
      <w:r>
        <w:t xml:space="preserve">The City College of San Francisco </w:t>
      </w:r>
      <w:r w:rsidR="008871C8">
        <w:t xml:space="preserve">(Show Cause status in 2012) </w:t>
      </w:r>
      <w:r>
        <w:t>situation has been particularly difficult and divisive.  CCSF has experienced a dramatic decline in number of students attending</w:t>
      </w:r>
      <w:r w:rsidR="00663768">
        <w:t>, which has affected FTES and income from the state</w:t>
      </w:r>
      <w:r>
        <w:t>.  Fewer students</w:t>
      </w:r>
      <w:r>
        <w:sym w:font="Wingdings" w:char="F0E8"/>
      </w:r>
      <w:r>
        <w:t>fewer section</w:t>
      </w:r>
      <w:r w:rsidR="008871C8">
        <w:t>s</w:t>
      </w:r>
      <w:r w:rsidRPr="00EA0A8B">
        <w:rPr>
          <w:b/>
        </w:rPr>
        <w:sym w:font="Wingdings" w:char="F0E0"/>
      </w:r>
      <w:r>
        <w:t>fewer faculty</w:t>
      </w:r>
      <w:r w:rsidR="00D8685A">
        <w:sym w:font="Wingdings" w:char="F0E0"/>
      </w:r>
      <w:r w:rsidR="00D8685A">
        <w:t xml:space="preserve">fewer dollars from the </w:t>
      </w:r>
      <w:bookmarkStart w:id="0" w:name="_GoBack"/>
      <w:bookmarkEnd w:id="0"/>
      <w:r w:rsidR="00D8685A">
        <w:t>state due to drop in FTES</w:t>
      </w:r>
      <w:r>
        <w:t xml:space="preserve">.  It was revealed at the CCSF trial that the visiting team had not made a recommendation of Show Cause, but the Commission did.  This situation is not the only time the Commission’s position has been different, usually stronger, than the visiting </w:t>
      </w:r>
      <w:proofErr w:type="spellStart"/>
      <w:proofErr w:type="gramStart"/>
      <w:r>
        <w:t>team’s</w:t>
      </w:r>
      <w:proofErr w:type="spellEnd"/>
      <w:proofErr w:type="gramEnd"/>
      <w:r>
        <w:t xml:space="preserve">.  The </w:t>
      </w:r>
      <w:proofErr w:type="gramStart"/>
      <w:r>
        <w:t>Commission’s  position</w:t>
      </w:r>
      <w:proofErr w:type="gramEnd"/>
      <w:r>
        <w:t xml:space="preserve"> is that they see all the reports on all the colleges and apply sanctions consistently.  So if College X received a sanction for program review and College Y is showing the same problem, then Y will receive a sanction, too.  The visiting team does not have that context and larger view.</w:t>
      </w:r>
    </w:p>
    <w:p w:rsidR="00EA0A8B" w:rsidRDefault="00EA0A8B" w:rsidP="0028720B">
      <w:pPr>
        <w:spacing w:line="240" w:lineRule="auto"/>
      </w:pPr>
    </w:p>
    <w:p w:rsidR="00EA0A8B" w:rsidRDefault="00EA0A8B" w:rsidP="0028720B">
      <w:pPr>
        <w:spacing w:line="240" w:lineRule="auto"/>
      </w:pPr>
      <w:r>
        <w:t>Over the years various groups have expressed concern, written reports, and developed resolutions about the ACCJC and the accreditation process.  Some feel the Co</w:t>
      </w:r>
      <w:r w:rsidR="00AB14FA">
        <w:t xml:space="preserve">mmission has been unresponsive; </w:t>
      </w:r>
      <w:r>
        <w:t>some feel the Commission has not b</w:t>
      </w:r>
      <w:r w:rsidR="00AB14FA">
        <w:t xml:space="preserve">een responsive enough.  Others continue to </w:t>
      </w:r>
      <w:r>
        <w:t xml:space="preserve">embed </w:t>
      </w:r>
      <w:r w:rsidR="00ED3950">
        <w:t>the goals of accreditation—to have an effective institution with quality programs serving students and their communities—in their work.</w:t>
      </w:r>
    </w:p>
    <w:p w:rsidR="0028720B" w:rsidRDefault="0028720B" w:rsidP="0028720B">
      <w:pPr>
        <w:spacing w:line="240" w:lineRule="auto"/>
      </w:pPr>
    </w:p>
    <w:p w:rsidR="00AB14FA" w:rsidRDefault="0081512C" w:rsidP="00072841">
      <w:pPr>
        <w:pStyle w:val="BodyText"/>
        <w:ind w:left="0"/>
        <w:rPr>
          <w:rFonts w:asciiTheme="minorHAnsi" w:hAnsiTheme="minorHAnsi"/>
        </w:rPr>
      </w:pPr>
      <w:r w:rsidRPr="00072841">
        <w:rPr>
          <w:rFonts w:asciiTheme="minorHAnsi" w:hAnsiTheme="minorHAnsi"/>
        </w:rPr>
        <w:lastRenderedPageBreak/>
        <w:t>The June 2014 report by the California State Auditor</w:t>
      </w:r>
      <w:r w:rsidR="00AB14FA">
        <w:rPr>
          <w:rFonts w:asciiTheme="minorHAnsi" w:hAnsiTheme="minorHAnsi"/>
        </w:rPr>
        <w:t xml:space="preserve">, </w:t>
      </w:r>
      <w:r w:rsidR="00AB14FA" w:rsidRPr="00AB14FA">
        <w:rPr>
          <w:rFonts w:asciiTheme="minorHAnsi" w:hAnsiTheme="minorHAnsi"/>
          <w:i/>
        </w:rPr>
        <w:t>California Community College Accreditation</w:t>
      </w:r>
      <w:r w:rsidR="00AB14FA">
        <w:rPr>
          <w:rFonts w:asciiTheme="minorHAnsi" w:hAnsiTheme="minorHAnsi"/>
        </w:rPr>
        <w:t xml:space="preserve">: </w:t>
      </w:r>
      <w:r w:rsidR="00AB14FA" w:rsidRPr="00AB14FA">
        <w:rPr>
          <w:rFonts w:asciiTheme="minorHAnsi" w:hAnsiTheme="minorHAnsi"/>
          <w:i/>
        </w:rPr>
        <w:t>Colleges Are Treated Inconsistently and Opportunities Exist for Improvement in the Accreditation Process</w:t>
      </w:r>
      <w:r w:rsidR="00AB14FA">
        <w:rPr>
          <w:rFonts w:asciiTheme="minorHAnsi" w:hAnsiTheme="minorHAnsi"/>
        </w:rPr>
        <w:t>,</w:t>
      </w:r>
      <w:r w:rsidRPr="00072841">
        <w:rPr>
          <w:rFonts w:asciiTheme="minorHAnsi" w:hAnsiTheme="minorHAnsi"/>
        </w:rPr>
        <w:t xml:space="preserve"> noted that “88 percent of the college executives responding felt that the commission’s recommendations were reasonable, meaning that the commission appropriately identified issue</w:t>
      </w:r>
      <w:r w:rsidR="00AB14FA">
        <w:rPr>
          <w:rFonts w:asciiTheme="minorHAnsi" w:hAnsiTheme="minorHAnsi"/>
        </w:rPr>
        <w:t>s</w:t>
      </w:r>
      <w:r w:rsidRPr="00072841">
        <w:rPr>
          <w:rFonts w:asciiTheme="minorHAnsi" w:hAnsiTheme="minorHAnsi"/>
        </w:rPr>
        <w:t xml:space="preserve"> and concerns and that the commission’s recommendations related to the issues identified” (4).  </w:t>
      </w:r>
    </w:p>
    <w:p w:rsidR="00AB14FA" w:rsidRDefault="00AB14FA" w:rsidP="00072841">
      <w:pPr>
        <w:pStyle w:val="BodyText"/>
        <w:ind w:left="0"/>
        <w:rPr>
          <w:rFonts w:asciiTheme="minorHAnsi" w:hAnsiTheme="minorHAnsi"/>
        </w:rPr>
      </w:pPr>
    </w:p>
    <w:p w:rsidR="008871C8" w:rsidRPr="00072841" w:rsidRDefault="008871C8" w:rsidP="00663768">
      <w:pPr>
        <w:pStyle w:val="BodyText"/>
        <w:ind w:left="0"/>
        <w:rPr>
          <w:rFonts w:asciiTheme="minorHAnsi" w:hAnsiTheme="minorHAnsi"/>
        </w:rPr>
      </w:pPr>
      <w:r w:rsidRPr="00072841">
        <w:rPr>
          <w:rFonts w:asciiTheme="minorHAnsi" w:hAnsiTheme="minorHAnsi"/>
        </w:rPr>
        <w:t>The most recent report commissioned by the State Chancellor’</w:t>
      </w:r>
      <w:r w:rsidR="0081512C" w:rsidRPr="00072841">
        <w:rPr>
          <w:rFonts w:asciiTheme="minorHAnsi" w:hAnsiTheme="minorHAnsi"/>
        </w:rPr>
        <w:t xml:space="preserve">s Office, the </w:t>
      </w:r>
      <w:r w:rsidR="0081512C" w:rsidRPr="00072841">
        <w:rPr>
          <w:rFonts w:asciiTheme="minorHAnsi" w:hAnsiTheme="minorHAnsi"/>
          <w:i/>
        </w:rPr>
        <w:t>2015 Task Force on Accreditation</w:t>
      </w:r>
      <w:r w:rsidR="00D8685A">
        <w:rPr>
          <w:rFonts w:asciiTheme="minorHAnsi" w:hAnsiTheme="minorHAnsi"/>
        </w:rPr>
        <w:t xml:space="preserve"> released August 28, 2015, </w:t>
      </w:r>
      <w:r w:rsidR="0081512C" w:rsidRPr="00072841">
        <w:rPr>
          <w:rFonts w:asciiTheme="minorHAnsi" w:hAnsiTheme="minorHAnsi"/>
        </w:rPr>
        <w:t>states that</w:t>
      </w:r>
    </w:p>
    <w:p w:rsidR="0081512C" w:rsidRPr="00072841" w:rsidRDefault="0081512C" w:rsidP="00663768">
      <w:pPr>
        <w:pStyle w:val="BodyText"/>
        <w:numPr>
          <w:ilvl w:val="0"/>
          <w:numId w:val="3"/>
        </w:numPr>
        <w:rPr>
          <w:rFonts w:asciiTheme="minorHAnsi" w:hAnsiTheme="minorHAnsi"/>
        </w:rPr>
      </w:pPr>
      <w:r w:rsidRPr="00072841">
        <w:rPr>
          <w:rFonts w:asciiTheme="minorHAnsi" w:hAnsiTheme="minorHAnsi"/>
          <w:color w:val="1F1F1F"/>
          <w:w w:val="95"/>
        </w:rPr>
        <w:t>The</w:t>
      </w:r>
      <w:r w:rsidRPr="00072841">
        <w:rPr>
          <w:rFonts w:asciiTheme="minorHAnsi" w:hAnsiTheme="minorHAnsi"/>
          <w:color w:val="1F1F1F"/>
          <w:spacing w:val="-3"/>
          <w:w w:val="95"/>
        </w:rPr>
        <w:t xml:space="preserve"> </w:t>
      </w:r>
      <w:r w:rsidRPr="00072841">
        <w:rPr>
          <w:rFonts w:asciiTheme="minorHAnsi" w:hAnsiTheme="minorHAnsi"/>
          <w:color w:val="1F1F1F"/>
          <w:w w:val="95"/>
        </w:rPr>
        <w:t>structure</w:t>
      </w:r>
      <w:r w:rsidR="00E81C0D">
        <w:rPr>
          <w:rFonts w:asciiTheme="minorHAnsi" w:hAnsiTheme="minorHAnsi"/>
          <w:color w:val="1F1F1F"/>
          <w:spacing w:val="3"/>
          <w:w w:val="95"/>
        </w:rPr>
        <w:t xml:space="preserve"> </w:t>
      </w:r>
      <w:r w:rsidRPr="00072841">
        <w:rPr>
          <w:rFonts w:asciiTheme="minorHAnsi" w:hAnsiTheme="minorHAnsi"/>
          <w:color w:val="1F1F1F"/>
          <w:w w:val="95"/>
        </w:rPr>
        <w:t>of</w:t>
      </w:r>
      <w:r w:rsidRPr="00072841">
        <w:rPr>
          <w:rFonts w:asciiTheme="minorHAnsi" w:hAnsiTheme="minorHAnsi"/>
          <w:color w:val="1F1F1F"/>
          <w:spacing w:val="-5"/>
          <w:w w:val="95"/>
        </w:rPr>
        <w:t xml:space="preserve"> </w:t>
      </w:r>
      <w:r w:rsidRPr="00072841">
        <w:rPr>
          <w:rFonts w:asciiTheme="minorHAnsi" w:hAnsiTheme="minorHAnsi"/>
          <w:color w:val="1F1F1F"/>
          <w:w w:val="95"/>
        </w:rPr>
        <w:t>accreditation</w:t>
      </w:r>
      <w:r w:rsidR="00E81C0D">
        <w:rPr>
          <w:rFonts w:asciiTheme="minorHAnsi" w:hAnsiTheme="minorHAnsi"/>
          <w:color w:val="1F1F1F"/>
          <w:w w:val="95"/>
        </w:rPr>
        <w:t xml:space="preserve"> </w:t>
      </w:r>
      <w:r w:rsidRPr="00072841">
        <w:rPr>
          <w:rFonts w:asciiTheme="minorHAnsi" w:hAnsiTheme="minorHAnsi"/>
          <w:color w:val="1F1F1F"/>
          <w:w w:val="95"/>
        </w:rPr>
        <w:t>in</w:t>
      </w:r>
      <w:r w:rsidRPr="00072841">
        <w:rPr>
          <w:rFonts w:asciiTheme="minorHAnsi" w:hAnsiTheme="minorHAnsi"/>
          <w:color w:val="1F1F1F"/>
          <w:spacing w:val="-14"/>
          <w:w w:val="95"/>
        </w:rPr>
        <w:t xml:space="preserve"> </w:t>
      </w:r>
      <w:r w:rsidRPr="00072841">
        <w:rPr>
          <w:rFonts w:asciiTheme="minorHAnsi" w:hAnsiTheme="minorHAnsi"/>
          <w:color w:val="1F1F1F"/>
          <w:w w:val="95"/>
        </w:rPr>
        <w:t>this</w:t>
      </w:r>
      <w:r w:rsidRPr="00072841">
        <w:rPr>
          <w:rFonts w:asciiTheme="minorHAnsi" w:hAnsiTheme="minorHAnsi"/>
          <w:color w:val="1F1F1F"/>
          <w:spacing w:val="14"/>
          <w:w w:val="95"/>
        </w:rPr>
        <w:t xml:space="preserve"> </w:t>
      </w:r>
      <w:r w:rsidRPr="00072841">
        <w:rPr>
          <w:rFonts w:asciiTheme="minorHAnsi" w:hAnsiTheme="minorHAnsi"/>
          <w:color w:val="1F1F1F"/>
          <w:w w:val="95"/>
        </w:rPr>
        <w:t>region</w:t>
      </w:r>
      <w:r w:rsidRPr="00072841">
        <w:rPr>
          <w:rFonts w:asciiTheme="minorHAnsi" w:hAnsiTheme="minorHAnsi"/>
          <w:color w:val="1F1F1F"/>
          <w:spacing w:val="11"/>
          <w:w w:val="95"/>
        </w:rPr>
        <w:t xml:space="preserve"> </w:t>
      </w:r>
      <w:r w:rsidRPr="00072841">
        <w:rPr>
          <w:rFonts w:asciiTheme="minorHAnsi" w:hAnsiTheme="minorHAnsi"/>
          <w:color w:val="1F1F1F"/>
          <w:w w:val="95"/>
        </w:rPr>
        <w:t>no</w:t>
      </w:r>
      <w:r w:rsidRPr="00072841">
        <w:rPr>
          <w:rFonts w:asciiTheme="minorHAnsi" w:hAnsiTheme="minorHAnsi"/>
          <w:color w:val="1F1F1F"/>
          <w:spacing w:val="1"/>
          <w:w w:val="95"/>
        </w:rPr>
        <w:t xml:space="preserve"> </w:t>
      </w:r>
      <w:r w:rsidRPr="00072841">
        <w:rPr>
          <w:rFonts w:asciiTheme="minorHAnsi" w:hAnsiTheme="minorHAnsi"/>
          <w:color w:val="1F1F1F"/>
          <w:w w:val="95"/>
        </w:rPr>
        <w:t>longer</w:t>
      </w:r>
      <w:r w:rsidRPr="00072841">
        <w:rPr>
          <w:rFonts w:asciiTheme="minorHAnsi" w:hAnsiTheme="minorHAnsi"/>
          <w:color w:val="1F1F1F"/>
          <w:spacing w:val="17"/>
          <w:w w:val="95"/>
        </w:rPr>
        <w:t xml:space="preserve"> </w:t>
      </w:r>
      <w:r w:rsidRPr="00072841">
        <w:rPr>
          <w:rFonts w:asciiTheme="minorHAnsi" w:hAnsiTheme="minorHAnsi"/>
          <w:color w:val="1F1F1F"/>
          <w:w w:val="95"/>
        </w:rPr>
        <w:t>meets</w:t>
      </w:r>
      <w:r w:rsidRPr="00072841">
        <w:rPr>
          <w:rFonts w:asciiTheme="minorHAnsi" w:hAnsiTheme="minorHAnsi"/>
          <w:color w:val="1F1F1F"/>
          <w:spacing w:val="-9"/>
          <w:w w:val="95"/>
        </w:rPr>
        <w:t xml:space="preserve"> </w:t>
      </w:r>
      <w:r w:rsidRPr="00072841">
        <w:rPr>
          <w:rFonts w:asciiTheme="minorHAnsi" w:hAnsiTheme="minorHAnsi"/>
          <w:color w:val="1F1F1F"/>
          <w:w w:val="95"/>
        </w:rPr>
        <w:t>the</w:t>
      </w:r>
      <w:r w:rsidRPr="00072841">
        <w:rPr>
          <w:rFonts w:asciiTheme="minorHAnsi" w:hAnsiTheme="minorHAnsi"/>
          <w:color w:val="1F1F1F"/>
          <w:spacing w:val="-5"/>
          <w:w w:val="95"/>
        </w:rPr>
        <w:t xml:space="preserve"> </w:t>
      </w:r>
      <w:r w:rsidRPr="00072841">
        <w:rPr>
          <w:rFonts w:asciiTheme="minorHAnsi" w:hAnsiTheme="minorHAnsi"/>
          <w:color w:val="1F1F1F"/>
          <w:w w:val="95"/>
        </w:rPr>
        <w:t>current</w:t>
      </w:r>
      <w:r w:rsidRPr="00072841">
        <w:rPr>
          <w:rFonts w:asciiTheme="minorHAnsi" w:hAnsiTheme="minorHAnsi"/>
          <w:color w:val="1F1F1F"/>
          <w:spacing w:val="7"/>
          <w:w w:val="95"/>
        </w:rPr>
        <w:t xml:space="preserve"> </w:t>
      </w:r>
      <w:r w:rsidRPr="00072841">
        <w:rPr>
          <w:rFonts w:asciiTheme="minorHAnsi" w:hAnsiTheme="minorHAnsi"/>
          <w:color w:val="1F1F1F"/>
          <w:w w:val="95"/>
        </w:rPr>
        <w:t>and</w:t>
      </w:r>
      <w:r w:rsidRPr="00072841">
        <w:rPr>
          <w:rFonts w:asciiTheme="minorHAnsi" w:hAnsiTheme="minorHAnsi"/>
          <w:color w:val="1F1F1F"/>
          <w:spacing w:val="-1"/>
          <w:w w:val="95"/>
        </w:rPr>
        <w:t xml:space="preserve"> </w:t>
      </w:r>
      <w:r w:rsidRPr="00072841">
        <w:rPr>
          <w:rFonts w:asciiTheme="minorHAnsi" w:hAnsiTheme="minorHAnsi"/>
          <w:color w:val="1F1F1F"/>
          <w:w w:val="95"/>
        </w:rPr>
        <w:t>anticipated</w:t>
      </w:r>
      <w:r w:rsidRPr="00072841">
        <w:rPr>
          <w:rFonts w:asciiTheme="minorHAnsi" w:hAnsiTheme="minorHAnsi"/>
          <w:color w:val="1F1F1F"/>
          <w:spacing w:val="19"/>
          <w:w w:val="95"/>
        </w:rPr>
        <w:t xml:space="preserve"> </w:t>
      </w:r>
      <w:r w:rsidRPr="00072841">
        <w:rPr>
          <w:rFonts w:asciiTheme="minorHAnsi" w:hAnsiTheme="minorHAnsi"/>
          <w:color w:val="1F1F1F"/>
          <w:w w:val="95"/>
        </w:rPr>
        <w:t>needs</w:t>
      </w:r>
      <w:r w:rsidRPr="00072841">
        <w:rPr>
          <w:rFonts w:asciiTheme="minorHAnsi" w:hAnsiTheme="minorHAnsi"/>
          <w:color w:val="1F1F1F"/>
          <w:spacing w:val="-1"/>
          <w:w w:val="95"/>
        </w:rPr>
        <w:t xml:space="preserve"> </w:t>
      </w:r>
      <w:r w:rsidRPr="00072841">
        <w:rPr>
          <w:rFonts w:asciiTheme="minorHAnsi" w:hAnsiTheme="minorHAnsi"/>
          <w:color w:val="1F1F1F"/>
          <w:w w:val="95"/>
        </w:rPr>
        <w:t>of</w:t>
      </w:r>
      <w:r w:rsidRPr="00072841">
        <w:rPr>
          <w:rFonts w:asciiTheme="minorHAnsi" w:hAnsiTheme="minorHAnsi"/>
          <w:color w:val="1F1F1F"/>
          <w:spacing w:val="-2"/>
          <w:w w:val="95"/>
        </w:rPr>
        <w:t xml:space="preserve"> </w:t>
      </w:r>
      <w:r w:rsidRPr="00072841">
        <w:rPr>
          <w:rFonts w:asciiTheme="minorHAnsi" w:hAnsiTheme="minorHAnsi"/>
          <w:color w:val="1F1F1F"/>
          <w:w w:val="95"/>
        </w:rPr>
        <w:t xml:space="preserve">the </w:t>
      </w:r>
      <w:r w:rsidRPr="00072841">
        <w:rPr>
          <w:rFonts w:asciiTheme="minorHAnsi" w:hAnsiTheme="minorHAnsi"/>
          <w:color w:val="1F1F1F"/>
          <w:w w:val="90"/>
        </w:rPr>
        <w:t>California</w:t>
      </w:r>
      <w:r w:rsidRPr="00072841">
        <w:rPr>
          <w:rFonts w:asciiTheme="minorHAnsi" w:hAnsiTheme="minorHAnsi"/>
          <w:color w:val="1F1F1F"/>
          <w:spacing w:val="50"/>
          <w:w w:val="90"/>
        </w:rPr>
        <w:t xml:space="preserve"> </w:t>
      </w:r>
      <w:r w:rsidRPr="00072841">
        <w:rPr>
          <w:rFonts w:asciiTheme="minorHAnsi" w:hAnsiTheme="minorHAnsi"/>
          <w:color w:val="1F1F1F"/>
          <w:w w:val="90"/>
        </w:rPr>
        <w:t>Community</w:t>
      </w:r>
      <w:r w:rsidRPr="00072841">
        <w:rPr>
          <w:rFonts w:asciiTheme="minorHAnsi" w:hAnsiTheme="minorHAnsi"/>
          <w:color w:val="1F1F1F"/>
          <w:spacing w:val="31"/>
          <w:w w:val="90"/>
        </w:rPr>
        <w:t xml:space="preserve"> </w:t>
      </w:r>
      <w:r w:rsidRPr="00072841">
        <w:rPr>
          <w:rFonts w:asciiTheme="minorHAnsi" w:hAnsiTheme="minorHAnsi"/>
          <w:color w:val="1F1F1F"/>
          <w:w w:val="90"/>
        </w:rPr>
        <w:t>Colleges.</w:t>
      </w:r>
    </w:p>
    <w:p w:rsidR="0081512C" w:rsidRPr="00072841" w:rsidRDefault="0081512C" w:rsidP="00663768">
      <w:pPr>
        <w:pStyle w:val="BodyText"/>
        <w:numPr>
          <w:ilvl w:val="0"/>
          <w:numId w:val="3"/>
        </w:numPr>
        <w:rPr>
          <w:rFonts w:asciiTheme="minorHAnsi" w:hAnsiTheme="minorHAnsi"/>
        </w:rPr>
      </w:pPr>
      <w:r w:rsidRPr="00072841">
        <w:rPr>
          <w:rFonts w:asciiTheme="minorHAnsi" w:hAnsiTheme="minorHAnsi"/>
          <w:color w:val="1F1F1F"/>
          <w:w w:val="95"/>
        </w:rPr>
        <w:t>The</w:t>
      </w:r>
      <w:r w:rsidRPr="00072841">
        <w:rPr>
          <w:rFonts w:asciiTheme="minorHAnsi" w:hAnsiTheme="minorHAnsi"/>
          <w:color w:val="1F1F1F"/>
          <w:spacing w:val="-16"/>
          <w:w w:val="95"/>
        </w:rPr>
        <w:t xml:space="preserve"> </w:t>
      </w:r>
      <w:r w:rsidRPr="00072841">
        <w:rPr>
          <w:rFonts w:asciiTheme="minorHAnsi" w:hAnsiTheme="minorHAnsi"/>
          <w:color w:val="1F1F1F"/>
          <w:w w:val="95"/>
        </w:rPr>
        <w:t>ACCJC</w:t>
      </w:r>
      <w:r w:rsidRPr="00072841">
        <w:rPr>
          <w:rFonts w:asciiTheme="minorHAnsi" w:hAnsiTheme="minorHAnsi"/>
          <w:color w:val="1F1F1F"/>
          <w:spacing w:val="3"/>
          <w:w w:val="95"/>
        </w:rPr>
        <w:t xml:space="preserve"> </w:t>
      </w:r>
      <w:r w:rsidRPr="00072841">
        <w:rPr>
          <w:rFonts w:asciiTheme="minorHAnsi" w:hAnsiTheme="minorHAnsi"/>
          <w:color w:val="1F1F1F"/>
          <w:w w:val="95"/>
        </w:rPr>
        <w:t>has</w:t>
      </w:r>
      <w:r w:rsidRPr="00072841">
        <w:rPr>
          <w:rFonts w:asciiTheme="minorHAnsi" w:hAnsiTheme="minorHAnsi"/>
          <w:color w:val="1F1F1F"/>
          <w:spacing w:val="-15"/>
          <w:w w:val="95"/>
        </w:rPr>
        <w:t xml:space="preserve"> </w:t>
      </w:r>
      <w:r w:rsidRPr="00072841">
        <w:rPr>
          <w:rFonts w:asciiTheme="minorHAnsi" w:hAnsiTheme="minorHAnsi"/>
          <w:color w:val="1F1F1F"/>
          <w:w w:val="95"/>
        </w:rPr>
        <w:t>consistently</w:t>
      </w:r>
      <w:r w:rsidRPr="00072841">
        <w:rPr>
          <w:rFonts w:asciiTheme="minorHAnsi" w:hAnsiTheme="minorHAnsi"/>
          <w:color w:val="1F1F1F"/>
          <w:spacing w:val="-16"/>
          <w:w w:val="95"/>
        </w:rPr>
        <w:t xml:space="preserve"> </w:t>
      </w:r>
      <w:r w:rsidRPr="00072841">
        <w:rPr>
          <w:rFonts w:asciiTheme="minorHAnsi" w:hAnsiTheme="minorHAnsi"/>
          <w:color w:val="1F1F1F"/>
          <w:w w:val="95"/>
        </w:rPr>
        <w:t>failed</w:t>
      </w:r>
      <w:r w:rsidRPr="00072841">
        <w:rPr>
          <w:rFonts w:asciiTheme="minorHAnsi" w:hAnsiTheme="minorHAnsi"/>
          <w:color w:val="1F1F1F"/>
          <w:spacing w:val="-16"/>
          <w:w w:val="95"/>
        </w:rPr>
        <w:t xml:space="preserve"> </w:t>
      </w:r>
      <w:r w:rsidRPr="00072841">
        <w:rPr>
          <w:rFonts w:asciiTheme="minorHAnsi" w:hAnsiTheme="minorHAnsi"/>
          <w:color w:val="1F1F1F"/>
          <w:w w:val="95"/>
        </w:rPr>
        <w:t>to</w:t>
      </w:r>
      <w:r w:rsidRPr="00072841">
        <w:rPr>
          <w:rFonts w:asciiTheme="minorHAnsi" w:hAnsiTheme="minorHAnsi"/>
          <w:color w:val="1F1F1F"/>
          <w:spacing w:val="-6"/>
          <w:w w:val="95"/>
        </w:rPr>
        <w:t xml:space="preserve"> </w:t>
      </w:r>
      <w:r w:rsidRPr="00072841">
        <w:rPr>
          <w:rFonts w:asciiTheme="minorHAnsi" w:hAnsiTheme="minorHAnsi"/>
          <w:color w:val="1F1F1F"/>
          <w:w w:val="95"/>
        </w:rPr>
        <w:t>meet</w:t>
      </w:r>
      <w:r w:rsidRPr="00072841">
        <w:rPr>
          <w:rFonts w:asciiTheme="minorHAnsi" w:hAnsiTheme="minorHAnsi"/>
          <w:color w:val="1F1F1F"/>
          <w:spacing w:val="-18"/>
          <w:w w:val="95"/>
        </w:rPr>
        <w:t xml:space="preserve"> </w:t>
      </w:r>
      <w:r w:rsidRPr="00072841">
        <w:rPr>
          <w:rFonts w:asciiTheme="minorHAnsi" w:hAnsiTheme="minorHAnsi"/>
          <w:color w:val="1F1F1F"/>
          <w:w w:val="95"/>
        </w:rPr>
        <w:t>the</w:t>
      </w:r>
      <w:r w:rsidRPr="00072841">
        <w:rPr>
          <w:rFonts w:asciiTheme="minorHAnsi" w:hAnsiTheme="minorHAnsi"/>
          <w:color w:val="1F1F1F"/>
          <w:w w:val="98"/>
        </w:rPr>
        <w:t xml:space="preserve"> </w:t>
      </w:r>
      <w:r w:rsidRPr="00072841">
        <w:rPr>
          <w:rFonts w:asciiTheme="minorHAnsi" w:hAnsiTheme="minorHAnsi"/>
          <w:color w:val="1F1F1F"/>
          <w:w w:val="95"/>
        </w:rPr>
        <w:t>expectations</w:t>
      </w:r>
      <w:r w:rsidRPr="00072841">
        <w:rPr>
          <w:rFonts w:asciiTheme="minorHAnsi" w:hAnsiTheme="minorHAnsi"/>
          <w:color w:val="1F1F1F"/>
          <w:spacing w:val="11"/>
          <w:w w:val="95"/>
        </w:rPr>
        <w:t xml:space="preserve"> </w:t>
      </w:r>
      <w:r w:rsidRPr="00072841">
        <w:rPr>
          <w:rFonts w:asciiTheme="minorHAnsi" w:hAnsiTheme="minorHAnsi"/>
          <w:color w:val="1F1F1F"/>
          <w:w w:val="95"/>
        </w:rPr>
        <w:t>outlined</w:t>
      </w:r>
      <w:r w:rsidRPr="00072841">
        <w:rPr>
          <w:rFonts w:asciiTheme="minorHAnsi" w:hAnsiTheme="minorHAnsi"/>
          <w:color w:val="1F1F1F"/>
          <w:spacing w:val="18"/>
          <w:w w:val="95"/>
        </w:rPr>
        <w:t xml:space="preserve"> </w:t>
      </w:r>
      <w:r w:rsidRPr="00072841">
        <w:rPr>
          <w:rFonts w:asciiTheme="minorHAnsi" w:hAnsiTheme="minorHAnsi"/>
          <w:color w:val="1F1F1F"/>
          <w:w w:val="95"/>
        </w:rPr>
        <w:t>in</w:t>
      </w:r>
      <w:r w:rsidRPr="00072841">
        <w:rPr>
          <w:rFonts w:asciiTheme="minorHAnsi" w:hAnsiTheme="minorHAnsi"/>
          <w:color w:val="1F1F1F"/>
          <w:spacing w:val="-17"/>
          <w:w w:val="95"/>
        </w:rPr>
        <w:t xml:space="preserve"> </w:t>
      </w:r>
      <w:r w:rsidRPr="00072841">
        <w:rPr>
          <w:rFonts w:asciiTheme="minorHAnsi" w:hAnsiTheme="minorHAnsi"/>
          <w:color w:val="1F1F1F"/>
          <w:w w:val="95"/>
        </w:rPr>
        <w:t>section</w:t>
      </w:r>
      <w:r w:rsidRPr="00072841">
        <w:rPr>
          <w:rFonts w:asciiTheme="minorHAnsi" w:hAnsiTheme="minorHAnsi"/>
          <w:color w:val="1F1F1F"/>
          <w:spacing w:val="-5"/>
          <w:w w:val="95"/>
        </w:rPr>
        <w:t xml:space="preserve"> </w:t>
      </w:r>
      <w:r w:rsidRPr="00072841">
        <w:rPr>
          <w:rFonts w:asciiTheme="minorHAnsi" w:hAnsiTheme="minorHAnsi"/>
          <w:color w:val="1F1F1F"/>
          <w:w w:val="95"/>
        </w:rPr>
        <w:t>three</w:t>
      </w:r>
      <w:r w:rsidRPr="00072841">
        <w:rPr>
          <w:rFonts w:asciiTheme="minorHAnsi" w:hAnsiTheme="minorHAnsi"/>
          <w:color w:val="1F1F1F"/>
          <w:spacing w:val="-2"/>
          <w:w w:val="95"/>
        </w:rPr>
        <w:t xml:space="preserve"> </w:t>
      </w:r>
      <w:r w:rsidRPr="00072841">
        <w:rPr>
          <w:rFonts w:asciiTheme="minorHAnsi" w:hAnsiTheme="minorHAnsi"/>
          <w:color w:val="1F1F1F"/>
          <w:w w:val="95"/>
        </w:rPr>
        <w:t>of</w:t>
      </w:r>
      <w:r w:rsidRPr="00072841">
        <w:rPr>
          <w:rFonts w:asciiTheme="minorHAnsi" w:hAnsiTheme="minorHAnsi"/>
          <w:color w:val="1F1F1F"/>
          <w:spacing w:val="-8"/>
          <w:w w:val="95"/>
        </w:rPr>
        <w:t xml:space="preserve"> </w:t>
      </w:r>
      <w:r w:rsidRPr="00072841">
        <w:rPr>
          <w:rFonts w:asciiTheme="minorHAnsi" w:hAnsiTheme="minorHAnsi"/>
          <w:color w:val="1F1F1F"/>
          <w:w w:val="95"/>
        </w:rPr>
        <w:t>this</w:t>
      </w:r>
      <w:r w:rsidRPr="00072841">
        <w:rPr>
          <w:rFonts w:asciiTheme="minorHAnsi" w:hAnsiTheme="minorHAnsi"/>
          <w:color w:val="1F1F1F"/>
          <w:spacing w:val="5"/>
          <w:w w:val="95"/>
        </w:rPr>
        <w:t xml:space="preserve"> </w:t>
      </w:r>
      <w:r w:rsidRPr="00072841">
        <w:rPr>
          <w:rFonts w:asciiTheme="minorHAnsi" w:hAnsiTheme="minorHAnsi"/>
          <w:color w:val="1F1F1F"/>
          <w:w w:val="95"/>
        </w:rPr>
        <w:t>report.</w:t>
      </w:r>
    </w:p>
    <w:p w:rsidR="0081512C" w:rsidRPr="00072841" w:rsidRDefault="0081512C" w:rsidP="00663768">
      <w:pPr>
        <w:pStyle w:val="BodyText"/>
        <w:numPr>
          <w:ilvl w:val="0"/>
          <w:numId w:val="3"/>
        </w:numPr>
        <w:rPr>
          <w:rFonts w:asciiTheme="minorHAnsi" w:hAnsiTheme="minorHAnsi"/>
        </w:rPr>
      </w:pPr>
      <w:r w:rsidRPr="00072841">
        <w:rPr>
          <w:rFonts w:asciiTheme="minorHAnsi" w:hAnsiTheme="minorHAnsi"/>
          <w:color w:val="1F1F1F"/>
          <w:w w:val="95"/>
        </w:rPr>
        <w:t>On</w:t>
      </w:r>
      <w:r w:rsidRPr="00072841">
        <w:rPr>
          <w:rFonts w:asciiTheme="minorHAnsi" w:hAnsiTheme="minorHAnsi"/>
          <w:color w:val="1F1F1F"/>
          <w:spacing w:val="-26"/>
          <w:w w:val="95"/>
        </w:rPr>
        <w:t xml:space="preserve"> </w:t>
      </w:r>
      <w:r w:rsidRPr="00072841">
        <w:rPr>
          <w:rFonts w:asciiTheme="minorHAnsi" w:hAnsiTheme="minorHAnsi"/>
          <w:color w:val="1F1F1F"/>
          <w:w w:val="95"/>
        </w:rPr>
        <w:t>several</w:t>
      </w:r>
      <w:r w:rsidRPr="00072841">
        <w:rPr>
          <w:rFonts w:asciiTheme="minorHAnsi" w:hAnsiTheme="minorHAnsi"/>
          <w:color w:val="1F1F1F"/>
          <w:spacing w:val="-11"/>
          <w:w w:val="95"/>
        </w:rPr>
        <w:t xml:space="preserve"> </w:t>
      </w:r>
      <w:r w:rsidRPr="00072841">
        <w:rPr>
          <w:rFonts w:asciiTheme="minorHAnsi" w:hAnsiTheme="minorHAnsi"/>
          <w:color w:val="1F1F1F"/>
          <w:w w:val="95"/>
        </w:rPr>
        <w:t>occasions</w:t>
      </w:r>
      <w:r w:rsidRPr="00072841">
        <w:rPr>
          <w:rFonts w:asciiTheme="minorHAnsi" w:hAnsiTheme="minorHAnsi"/>
          <w:color w:val="1F1F1F"/>
          <w:spacing w:val="-17"/>
          <w:w w:val="95"/>
        </w:rPr>
        <w:t xml:space="preserve"> </w:t>
      </w:r>
      <w:r w:rsidRPr="00072841">
        <w:rPr>
          <w:rFonts w:asciiTheme="minorHAnsi" w:hAnsiTheme="minorHAnsi"/>
          <w:color w:val="1F1F1F"/>
          <w:w w:val="95"/>
        </w:rPr>
        <w:t>the</w:t>
      </w:r>
      <w:r w:rsidRPr="00072841">
        <w:rPr>
          <w:rFonts w:asciiTheme="minorHAnsi" w:hAnsiTheme="minorHAnsi"/>
          <w:color w:val="1F1F1F"/>
          <w:spacing w:val="-22"/>
          <w:w w:val="95"/>
        </w:rPr>
        <w:t xml:space="preserve"> </w:t>
      </w:r>
      <w:r w:rsidRPr="00072841">
        <w:rPr>
          <w:rFonts w:asciiTheme="minorHAnsi" w:hAnsiTheme="minorHAnsi"/>
          <w:color w:val="1F1F1F"/>
          <w:w w:val="95"/>
        </w:rPr>
        <w:t>ACCJC</w:t>
      </w:r>
      <w:r w:rsidRPr="00072841">
        <w:rPr>
          <w:rFonts w:asciiTheme="minorHAnsi" w:hAnsiTheme="minorHAnsi"/>
          <w:color w:val="1F1F1F"/>
          <w:spacing w:val="-7"/>
          <w:w w:val="95"/>
        </w:rPr>
        <w:t xml:space="preserve"> </w:t>
      </w:r>
      <w:r w:rsidRPr="00072841">
        <w:rPr>
          <w:rFonts w:asciiTheme="minorHAnsi" w:hAnsiTheme="minorHAnsi"/>
          <w:color w:val="1F1F1F"/>
          <w:w w:val="95"/>
        </w:rPr>
        <w:t>has</w:t>
      </w:r>
      <w:r w:rsidRPr="00072841">
        <w:rPr>
          <w:rFonts w:asciiTheme="minorHAnsi" w:hAnsiTheme="minorHAnsi"/>
          <w:color w:val="1F1F1F"/>
          <w:spacing w:val="-11"/>
          <w:w w:val="95"/>
        </w:rPr>
        <w:t xml:space="preserve"> </w:t>
      </w:r>
      <w:r w:rsidRPr="00072841">
        <w:rPr>
          <w:rFonts w:asciiTheme="minorHAnsi" w:hAnsiTheme="minorHAnsi"/>
          <w:color w:val="1F1F1F"/>
          <w:w w:val="95"/>
        </w:rPr>
        <w:t>promised</w:t>
      </w:r>
      <w:r w:rsidRPr="00072841">
        <w:rPr>
          <w:rFonts w:asciiTheme="minorHAnsi" w:hAnsiTheme="minorHAnsi"/>
          <w:color w:val="1F1F1F"/>
          <w:w w:val="94"/>
        </w:rPr>
        <w:t xml:space="preserve"> </w:t>
      </w:r>
      <w:r w:rsidRPr="00072841">
        <w:rPr>
          <w:rFonts w:asciiTheme="minorHAnsi" w:hAnsiTheme="minorHAnsi"/>
          <w:color w:val="1F1F1F"/>
          <w:w w:val="95"/>
        </w:rPr>
        <w:t>changes</w:t>
      </w:r>
      <w:r w:rsidRPr="00072841">
        <w:rPr>
          <w:rFonts w:asciiTheme="minorHAnsi" w:hAnsiTheme="minorHAnsi"/>
          <w:color w:val="1F1F1F"/>
          <w:spacing w:val="8"/>
          <w:w w:val="95"/>
        </w:rPr>
        <w:t xml:space="preserve"> </w:t>
      </w:r>
      <w:r w:rsidRPr="00072841">
        <w:rPr>
          <w:rFonts w:asciiTheme="minorHAnsi" w:hAnsiTheme="minorHAnsi"/>
          <w:color w:val="1F1F1F"/>
          <w:w w:val="95"/>
        </w:rPr>
        <w:t>and</w:t>
      </w:r>
      <w:r w:rsidRPr="00072841">
        <w:rPr>
          <w:rFonts w:asciiTheme="minorHAnsi" w:hAnsiTheme="minorHAnsi"/>
          <w:color w:val="1F1F1F"/>
          <w:spacing w:val="7"/>
          <w:w w:val="95"/>
        </w:rPr>
        <w:t xml:space="preserve"> </w:t>
      </w:r>
      <w:r w:rsidRPr="00072841">
        <w:rPr>
          <w:rFonts w:asciiTheme="minorHAnsi" w:hAnsiTheme="minorHAnsi"/>
          <w:color w:val="1F1F1F"/>
          <w:w w:val="95"/>
        </w:rPr>
        <w:t>has</w:t>
      </w:r>
      <w:r w:rsidRPr="00072841">
        <w:rPr>
          <w:rFonts w:asciiTheme="minorHAnsi" w:hAnsiTheme="minorHAnsi"/>
          <w:color w:val="1F1F1F"/>
          <w:spacing w:val="-14"/>
          <w:w w:val="95"/>
        </w:rPr>
        <w:t xml:space="preserve"> </w:t>
      </w:r>
      <w:r w:rsidRPr="00072841">
        <w:rPr>
          <w:rFonts w:asciiTheme="minorHAnsi" w:hAnsiTheme="minorHAnsi"/>
          <w:color w:val="1F1F1F"/>
          <w:w w:val="95"/>
        </w:rPr>
        <w:t>offered</w:t>
      </w:r>
      <w:r w:rsidRPr="00072841">
        <w:rPr>
          <w:rFonts w:asciiTheme="minorHAnsi" w:hAnsiTheme="minorHAnsi"/>
          <w:color w:val="1F1F1F"/>
          <w:spacing w:val="8"/>
          <w:w w:val="95"/>
        </w:rPr>
        <w:t xml:space="preserve"> </w:t>
      </w:r>
      <w:r w:rsidRPr="00072841">
        <w:rPr>
          <w:rFonts w:asciiTheme="minorHAnsi" w:hAnsiTheme="minorHAnsi"/>
          <w:color w:val="1F1F1F"/>
          <w:w w:val="95"/>
        </w:rPr>
        <w:t>reports</w:t>
      </w:r>
      <w:r w:rsidRPr="00072841">
        <w:rPr>
          <w:rFonts w:asciiTheme="minorHAnsi" w:hAnsiTheme="minorHAnsi"/>
          <w:color w:val="1F1F1F"/>
          <w:spacing w:val="-4"/>
          <w:w w:val="95"/>
        </w:rPr>
        <w:t xml:space="preserve"> </w:t>
      </w:r>
      <w:r w:rsidRPr="00072841">
        <w:rPr>
          <w:rFonts w:asciiTheme="minorHAnsi" w:hAnsiTheme="minorHAnsi"/>
          <w:color w:val="1F1F1F"/>
          <w:w w:val="95"/>
        </w:rPr>
        <w:t>detailing</w:t>
      </w:r>
      <w:r w:rsidRPr="00072841">
        <w:rPr>
          <w:rFonts w:asciiTheme="minorHAnsi" w:hAnsiTheme="minorHAnsi"/>
          <w:color w:val="1F1F1F"/>
          <w:spacing w:val="-16"/>
          <w:w w:val="95"/>
        </w:rPr>
        <w:t xml:space="preserve"> </w:t>
      </w:r>
      <w:r w:rsidRPr="00072841">
        <w:rPr>
          <w:rFonts w:asciiTheme="minorHAnsi" w:hAnsiTheme="minorHAnsi"/>
          <w:color w:val="1F1F1F"/>
          <w:w w:val="95"/>
        </w:rPr>
        <w:t>their efforts</w:t>
      </w:r>
      <w:r w:rsidRPr="00072841">
        <w:rPr>
          <w:rFonts w:asciiTheme="minorHAnsi" w:hAnsiTheme="minorHAnsi"/>
          <w:color w:val="1F1F1F"/>
          <w:spacing w:val="-7"/>
          <w:w w:val="95"/>
        </w:rPr>
        <w:t xml:space="preserve"> </w:t>
      </w:r>
      <w:r w:rsidRPr="00072841">
        <w:rPr>
          <w:rFonts w:asciiTheme="minorHAnsi" w:hAnsiTheme="minorHAnsi"/>
          <w:color w:val="1F1F1F"/>
          <w:w w:val="95"/>
        </w:rPr>
        <w:t>to</w:t>
      </w:r>
      <w:r w:rsidRPr="00072841">
        <w:rPr>
          <w:rFonts w:asciiTheme="minorHAnsi" w:hAnsiTheme="minorHAnsi"/>
          <w:color w:val="1F1F1F"/>
          <w:spacing w:val="-11"/>
          <w:w w:val="95"/>
        </w:rPr>
        <w:t xml:space="preserve"> </w:t>
      </w:r>
      <w:r w:rsidRPr="00072841">
        <w:rPr>
          <w:rFonts w:asciiTheme="minorHAnsi" w:hAnsiTheme="minorHAnsi"/>
          <w:color w:val="1F1F1F"/>
          <w:w w:val="95"/>
        </w:rPr>
        <w:t>address</w:t>
      </w:r>
      <w:r w:rsidRPr="00072841">
        <w:rPr>
          <w:rFonts w:asciiTheme="minorHAnsi" w:hAnsiTheme="minorHAnsi"/>
          <w:color w:val="1F1F1F"/>
          <w:spacing w:val="2"/>
          <w:w w:val="95"/>
        </w:rPr>
        <w:t xml:space="preserve"> </w:t>
      </w:r>
      <w:r w:rsidRPr="00072841">
        <w:rPr>
          <w:rFonts w:asciiTheme="minorHAnsi" w:hAnsiTheme="minorHAnsi"/>
          <w:color w:val="1F1F1F"/>
          <w:w w:val="95"/>
        </w:rPr>
        <w:t>concerns,</w:t>
      </w:r>
      <w:r w:rsidRPr="00072841">
        <w:rPr>
          <w:rFonts w:asciiTheme="minorHAnsi" w:hAnsiTheme="minorHAnsi"/>
          <w:color w:val="1F1F1F"/>
          <w:spacing w:val="27"/>
          <w:w w:val="95"/>
        </w:rPr>
        <w:t xml:space="preserve"> </w:t>
      </w:r>
      <w:r w:rsidRPr="00072841">
        <w:rPr>
          <w:rFonts w:asciiTheme="minorHAnsi" w:hAnsiTheme="minorHAnsi"/>
          <w:color w:val="1F1F1F"/>
          <w:w w:val="95"/>
        </w:rPr>
        <w:t>but</w:t>
      </w:r>
      <w:r w:rsidRPr="00072841">
        <w:rPr>
          <w:rFonts w:asciiTheme="minorHAnsi" w:hAnsiTheme="minorHAnsi"/>
          <w:color w:val="1F1F1F"/>
          <w:spacing w:val="-11"/>
          <w:w w:val="95"/>
        </w:rPr>
        <w:t xml:space="preserve"> </w:t>
      </w:r>
      <w:r w:rsidRPr="00072841">
        <w:rPr>
          <w:rFonts w:asciiTheme="minorHAnsi" w:hAnsiTheme="minorHAnsi"/>
          <w:color w:val="1F1F1F"/>
          <w:w w:val="95"/>
        </w:rPr>
        <w:t>these</w:t>
      </w:r>
      <w:r w:rsidRPr="00072841">
        <w:rPr>
          <w:rFonts w:asciiTheme="minorHAnsi" w:hAnsiTheme="minorHAnsi"/>
          <w:color w:val="1F1F1F"/>
          <w:spacing w:val="10"/>
          <w:w w:val="95"/>
        </w:rPr>
        <w:t xml:space="preserve"> </w:t>
      </w:r>
      <w:r w:rsidRPr="00072841">
        <w:rPr>
          <w:rFonts w:asciiTheme="minorHAnsi" w:hAnsiTheme="minorHAnsi"/>
          <w:color w:val="1F1F1F"/>
          <w:w w:val="95"/>
        </w:rPr>
        <w:t>promises</w:t>
      </w:r>
      <w:r w:rsidRPr="00072841">
        <w:rPr>
          <w:rFonts w:asciiTheme="minorHAnsi" w:hAnsiTheme="minorHAnsi"/>
          <w:color w:val="1F1F1F"/>
          <w:spacing w:val="-6"/>
          <w:w w:val="95"/>
        </w:rPr>
        <w:t xml:space="preserve"> </w:t>
      </w:r>
      <w:r w:rsidRPr="00072841">
        <w:rPr>
          <w:rFonts w:asciiTheme="minorHAnsi" w:hAnsiTheme="minorHAnsi"/>
          <w:color w:val="1F1F1F"/>
          <w:w w:val="95"/>
        </w:rPr>
        <w:t>and</w:t>
      </w:r>
      <w:r w:rsidRPr="00072841">
        <w:rPr>
          <w:rFonts w:asciiTheme="minorHAnsi" w:hAnsiTheme="minorHAnsi"/>
          <w:color w:val="1F1F1F"/>
          <w:w w:val="99"/>
        </w:rPr>
        <w:t xml:space="preserve"> </w:t>
      </w:r>
      <w:r w:rsidRPr="00072841">
        <w:rPr>
          <w:rFonts w:asciiTheme="minorHAnsi" w:hAnsiTheme="minorHAnsi"/>
          <w:color w:val="1F1F1F"/>
          <w:w w:val="95"/>
        </w:rPr>
        <w:t>reports</w:t>
      </w:r>
      <w:r w:rsidRPr="00072841">
        <w:rPr>
          <w:rFonts w:asciiTheme="minorHAnsi" w:hAnsiTheme="minorHAnsi"/>
          <w:color w:val="1F1F1F"/>
          <w:spacing w:val="-4"/>
          <w:w w:val="95"/>
        </w:rPr>
        <w:t xml:space="preserve"> </w:t>
      </w:r>
      <w:r w:rsidRPr="00072841">
        <w:rPr>
          <w:rFonts w:asciiTheme="minorHAnsi" w:hAnsiTheme="minorHAnsi"/>
          <w:color w:val="1F1F1F"/>
          <w:w w:val="95"/>
        </w:rPr>
        <w:t>have</w:t>
      </w:r>
      <w:r w:rsidRPr="00072841">
        <w:rPr>
          <w:rFonts w:asciiTheme="minorHAnsi" w:hAnsiTheme="minorHAnsi"/>
          <w:color w:val="1F1F1F"/>
          <w:spacing w:val="-6"/>
          <w:w w:val="95"/>
        </w:rPr>
        <w:t xml:space="preserve"> </w:t>
      </w:r>
      <w:r w:rsidRPr="00072841">
        <w:rPr>
          <w:rFonts w:asciiTheme="minorHAnsi" w:hAnsiTheme="minorHAnsi"/>
          <w:color w:val="1F1F1F"/>
          <w:w w:val="95"/>
        </w:rPr>
        <w:t>led</w:t>
      </w:r>
      <w:r w:rsidRPr="00072841">
        <w:rPr>
          <w:rFonts w:asciiTheme="minorHAnsi" w:hAnsiTheme="minorHAnsi"/>
          <w:color w:val="1F1F1F"/>
          <w:spacing w:val="-15"/>
          <w:w w:val="95"/>
        </w:rPr>
        <w:t xml:space="preserve"> </w:t>
      </w:r>
      <w:r w:rsidRPr="00072841">
        <w:rPr>
          <w:rFonts w:asciiTheme="minorHAnsi" w:hAnsiTheme="minorHAnsi"/>
          <w:color w:val="1F1F1F"/>
          <w:w w:val="95"/>
        </w:rPr>
        <w:t>to</w:t>
      </w:r>
      <w:r w:rsidRPr="00072841">
        <w:rPr>
          <w:rFonts w:asciiTheme="minorHAnsi" w:hAnsiTheme="minorHAnsi"/>
          <w:color w:val="1F1F1F"/>
          <w:spacing w:val="-16"/>
          <w:w w:val="95"/>
        </w:rPr>
        <w:t xml:space="preserve"> </w:t>
      </w:r>
      <w:r w:rsidRPr="00072841">
        <w:rPr>
          <w:rFonts w:asciiTheme="minorHAnsi" w:hAnsiTheme="minorHAnsi"/>
          <w:color w:val="1F1F1F"/>
          <w:w w:val="95"/>
        </w:rPr>
        <w:t>few</w:t>
      </w:r>
      <w:r w:rsidRPr="00072841">
        <w:rPr>
          <w:rFonts w:asciiTheme="minorHAnsi" w:hAnsiTheme="minorHAnsi"/>
          <w:color w:val="1F1F1F"/>
          <w:spacing w:val="1"/>
          <w:w w:val="95"/>
        </w:rPr>
        <w:t xml:space="preserve"> </w:t>
      </w:r>
      <w:r w:rsidRPr="00072841">
        <w:rPr>
          <w:rFonts w:asciiTheme="minorHAnsi" w:hAnsiTheme="minorHAnsi"/>
          <w:color w:val="1F1F1F"/>
          <w:w w:val="95"/>
        </w:rPr>
        <w:t>significant</w:t>
      </w:r>
      <w:r w:rsidRPr="00072841">
        <w:rPr>
          <w:rFonts w:asciiTheme="minorHAnsi" w:hAnsiTheme="minorHAnsi"/>
          <w:color w:val="1F1F1F"/>
          <w:spacing w:val="11"/>
          <w:w w:val="95"/>
        </w:rPr>
        <w:t xml:space="preserve"> </w:t>
      </w:r>
      <w:r w:rsidRPr="00072841">
        <w:rPr>
          <w:rFonts w:asciiTheme="minorHAnsi" w:hAnsiTheme="minorHAnsi"/>
          <w:color w:val="1F1F1F"/>
          <w:w w:val="95"/>
        </w:rPr>
        <w:t>improvements.</w:t>
      </w:r>
    </w:p>
    <w:p w:rsidR="00087F2A" w:rsidRPr="00087F2A" w:rsidRDefault="0081512C" w:rsidP="00087F2A">
      <w:pPr>
        <w:pStyle w:val="BodyText"/>
        <w:numPr>
          <w:ilvl w:val="0"/>
          <w:numId w:val="3"/>
        </w:numPr>
        <w:rPr>
          <w:rFonts w:asciiTheme="minorHAnsi" w:hAnsiTheme="minorHAnsi"/>
        </w:rPr>
      </w:pPr>
      <w:r w:rsidRPr="00072841">
        <w:rPr>
          <w:rFonts w:asciiTheme="minorHAnsi" w:hAnsiTheme="minorHAnsi"/>
          <w:color w:val="1F1F1F"/>
          <w:w w:val="95"/>
        </w:rPr>
        <w:t>The</w:t>
      </w:r>
      <w:r w:rsidRPr="00072841">
        <w:rPr>
          <w:rFonts w:asciiTheme="minorHAnsi" w:hAnsiTheme="minorHAnsi"/>
          <w:color w:val="1F1F1F"/>
          <w:spacing w:val="-17"/>
          <w:w w:val="95"/>
        </w:rPr>
        <w:t xml:space="preserve"> </w:t>
      </w:r>
      <w:r w:rsidRPr="00072841">
        <w:rPr>
          <w:rFonts w:asciiTheme="minorHAnsi" w:hAnsiTheme="minorHAnsi"/>
          <w:color w:val="1F1F1F"/>
          <w:w w:val="95"/>
        </w:rPr>
        <w:t>California</w:t>
      </w:r>
      <w:r w:rsidRPr="00072841">
        <w:rPr>
          <w:rFonts w:asciiTheme="minorHAnsi" w:hAnsiTheme="minorHAnsi"/>
          <w:color w:val="1F1F1F"/>
          <w:spacing w:val="1"/>
          <w:w w:val="95"/>
        </w:rPr>
        <w:t xml:space="preserve"> </w:t>
      </w:r>
      <w:r w:rsidRPr="00072841">
        <w:rPr>
          <w:rFonts w:asciiTheme="minorHAnsi" w:hAnsiTheme="minorHAnsi"/>
          <w:color w:val="1F1F1F"/>
          <w:w w:val="95"/>
        </w:rPr>
        <w:t>Community</w:t>
      </w:r>
      <w:r w:rsidRPr="00072841">
        <w:rPr>
          <w:rFonts w:asciiTheme="minorHAnsi" w:hAnsiTheme="minorHAnsi"/>
          <w:color w:val="1F1F1F"/>
          <w:spacing w:val="-2"/>
          <w:w w:val="95"/>
        </w:rPr>
        <w:t xml:space="preserve"> </w:t>
      </w:r>
      <w:r w:rsidRPr="00072841">
        <w:rPr>
          <w:rFonts w:asciiTheme="minorHAnsi" w:hAnsiTheme="minorHAnsi"/>
          <w:color w:val="1F1F1F"/>
          <w:w w:val="95"/>
        </w:rPr>
        <w:t>College</w:t>
      </w:r>
      <w:r w:rsidRPr="00072841">
        <w:rPr>
          <w:rFonts w:asciiTheme="minorHAnsi" w:hAnsiTheme="minorHAnsi"/>
          <w:color w:val="1F1F1F"/>
          <w:spacing w:val="-12"/>
          <w:w w:val="95"/>
        </w:rPr>
        <w:t xml:space="preserve"> </w:t>
      </w:r>
      <w:r w:rsidRPr="00072841">
        <w:rPr>
          <w:rFonts w:asciiTheme="minorHAnsi" w:hAnsiTheme="minorHAnsi"/>
          <w:color w:val="1F1F1F"/>
          <w:w w:val="95"/>
        </w:rPr>
        <w:t>system</w:t>
      </w:r>
      <w:r w:rsidRPr="00072841">
        <w:rPr>
          <w:rFonts w:asciiTheme="minorHAnsi" w:hAnsiTheme="minorHAnsi"/>
          <w:color w:val="1F1F1F"/>
          <w:spacing w:val="-11"/>
          <w:w w:val="95"/>
        </w:rPr>
        <w:t xml:space="preserve"> </w:t>
      </w:r>
      <w:r w:rsidRPr="00072841">
        <w:rPr>
          <w:rFonts w:asciiTheme="minorHAnsi" w:hAnsiTheme="minorHAnsi"/>
          <w:color w:val="1F1F1F"/>
          <w:w w:val="95"/>
        </w:rPr>
        <w:t>and</w:t>
      </w:r>
      <w:r w:rsidRPr="00072841">
        <w:rPr>
          <w:rFonts w:asciiTheme="minorHAnsi" w:hAnsiTheme="minorHAnsi"/>
          <w:color w:val="1F1F1F"/>
          <w:spacing w:val="-9"/>
          <w:w w:val="95"/>
        </w:rPr>
        <w:t xml:space="preserve"> </w:t>
      </w:r>
      <w:r w:rsidRPr="00072841">
        <w:rPr>
          <w:rFonts w:asciiTheme="minorHAnsi" w:hAnsiTheme="minorHAnsi"/>
          <w:color w:val="1F1F1F"/>
          <w:w w:val="95"/>
        </w:rPr>
        <w:t>its</w:t>
      </w:r>
      <w:r w:rsidRPr="00072841">
        <w:rPr>
          <w:rFonts w:asciiTheme="minorHAnsi" w:hAnsiTheme="minorHAnsi"/>
          <w:color w:val="1F1F1F"/>
          <w:w w:val="96"/>
        </w:rPr>
        <w:t xml:space="preserve"> </w:t>
      </w:r>
      <w:r w:rsidRPr="00072841">
        <w:rPr>
          <w:rFonts w:asciiTheme="minorHAnsi" w:hAnsiTheme="minorHAnsi"/>
          <w:color w:val="1F1F1F"/>
          <w:w w:val="95"/>
        </w:rPr>
        <w:t>member</w:t>
      </w:r>
      <w:r w:rsidRPr="00072841">
        <w:rPr>
          <w:rFonts w:asciiTheme="minorHAnsi" w:hAnsiTheme="minorHAnsi"/>
          <w:color w:val="1F1F1F"/>
          <w:spacing w:val="21"/>
          <w:w w:val="95"/>
        </w:rPr>
        <w:t xml:space="preserve"> </w:t>
      </w:r>
      <w:r w:rsidRPr="00072841">
        <w:rPr>
          <w:rFonts w:asciiTheme="minorHAnsi" w:hAnsiTheme="minorHAnsi"/>
          <w:color w:val="1F1F1F"/>
          <w:w w:val="95"/>
        </w:rPr>
        <w:t>institutions</w:t>
      </w:r>
      <w:r w:rsidRPr="00072841">
        <w:rPr>
          <w:rFonts w:asciiTheme="minorHAnsi" w:hAnsiTheme="minorHAnsi"/>
          <w:color w:val="1F1F1F"/>
          <w:spacing w:val="28"/>
          <w:w w:val="95"/>
        </w:rPr>
        <w:t xml:space="preserve"> </w:t>
      </w:r>
      <w:r w:rsidRPr="00072841">
        <w:rPr>
          <w:rFonts w:asciiTheme="minorHAnsi" w:hAnsiTheme="minorHAnsi"/>
          <w:color w:val="1F1F1F"/>
          <w:w w:val="95"/>
        </w:rPr>
        <w:t>have</w:t>
      </w:r>
      <w:r w:rsidRPr="00072841">
        <w:rPr>
          <w:rFonts w:asciiTheme="minorHAnsi" w:hAnsiTheme="minorHAnsi"/>
          <w:color w:val="1F1F1F"/>
          <w:spacing w:val="-1"/>
          <w:w w:val="95"/>
        </w:rPr>
        <w:t xml:space="preserve"> </w:t>
      </w:r>
      <w:r w:rsidRPr="00072841">
        <w:rPr>
          <w:rFonts w:asciiTheme="minorHAnsi" w:hAnsiTheme="minorHAnsi"/>
          <w:color w:val="1F1F1F"/>
          <w:w w:val="95"/>
        </w:rPr>
        <w:t>lost</w:t>
      </w:r>
      <w:r w:rsidRPr="00072841">
        <w:rPr>
          <w:rFonts w:asciiTheme="minorHAnsi" w:hAnsiTheme="minorHAnsi"/>
          <w:color w:val="1F1F1F"/>
          <w:spacing w:val="-11"/>
          <w:w w:val="95"/>
        </w:rPr>
        <w:t xml:space="preserve"> </w:t>
      </w:r>
      <w:r w:rsidRPr="00072841">
        <w:rPr>
          <w:rFonts w:asciiTheme="minorHAnsi" w:hAnsiTheme="minorHAnsi"/>
          <w:color w:val="1F1F1F"/>
          <w:w w:val="95"/>
        </w:rPr>
        <w:t>confidence</w:t>
      </w:r>
      <w:r w:rsidRPr="00072841">
        <w:rPr>
          <w:rFonts w:asciiTheme="minorHAnsi" w:hAnsiTheme="minorHAnsi"/>
          <w:color w:val="1F1F1F"/>
          <w:spacing w:val="13"/>
          <w:w w:val="95"/>
        </w:rPr>
        <w:t xml:space="preserve"> </w:t>
      </w:r>
      <w:r w:rsidRPr="00072841">
        <w:rPr>
          <w:rFonts w:asciiTheme="minorHAnsi" w:hAnsiTheme="minorHAnsi"/>
          <w:color w:val="1F1F1F"/>
          <w:w w:val="95"/>
        </w:rPr>
        <w:t>in</w:t>
      </w:r>
      <w:r w:rsidRPr="00072841">
        <w:rPr>
          <w:rFonts w:asciiTheme="minorHAnsi" w:hAnsiTheme="minorHAnsi"/>
          <w:color w:val="1F1F1F"/>
          <w:spacing w:val="-24"/>
          <w:w w:val="95"/>
        </w:rPr>
        <w:t xml:space="preserve"> </w:t>
      </w:r>
      <w:r w:rsidRPr="00072841">
        <w:rPr>
          <w:rFonts w:asciiTheme="minorHAnsi" w:hAnsiTheme="minorHAnsi"/>
          <w:color w:val="1F1F1F"/>
          <w:w w:val="95"/>
        </w:rPr>
        <w:t>the</w:t>
      </w:r>
      <w:r w:rsidRPr="00072841">
        <w:rPr>
          <w:rFonts w:asciiTheme="minorHAnsi" w:hAnsiTheme="minorHAnsi"/>
          <w:color w:val="1F1F1F"/>
        </w:rPr>
        <w:t xml:space="preserve"> </w:t>
      </w:r>
      <w:r w:rsidRPr="00072841">
        <w:rPr>
          <w:rFonts w:asciiTheme="minorHAnsi" w:hAnsiTheme="minorHAnsi"/>
          <w:color w:val="1F1F1F"/>
          <w:w w:val="95"/>
        </w:rPr>
        <w:t>ACCJC.</w:t>
      </w:r>
      <w:r w:rsidR="00E81C0D">
        <w:rPr>
          <w:rFonts w:asciiTheme="minorHAnsi" w:hAnsiTheme="minorHAnsi"/>
          <w:color w:val="1F1F1F"/>
          <w:w w:val="95"/>
        </w:rPr>
        <w:t xml:space="preserve"> (8)</w:t>
      </w:r>
      <w:bookmarkStart w:id="1" w:name="_Toc431743539"/>
    </w:p>
    <w:p w:rsidR="00087F2A" w:rsidRDefault="00087F2A" w:rsidP="00087F2A">
      <w:pPr>
        <w:pStyle w:val="BodyText"/>
        <w:ind w:left="-105"/>
        <w:rPr>
          <w:rFonts w:asciiTheme="minorHAnsi" w:hAnsiTheme="minorHAnsi"/>
          <w:color w:val="1F1F1F"/>
          <w:w w:val="95"/>
        </w:rPr>
      </w:pPr>
    </w:p>
    <w:p w:rsidR="00AB14FA" w:rsidRPr="00087F2A" w:rsidRDefault="00E81C0D" w:rsidP="00087F2A">
      <w:pPr>
        <w:pStyle w:val="BodyText"/>
        <w:ind w:left="-105"/>
        <w:rPr>
          <w:rFonts w:asciiTheme="minorHAnsi" w:hAnsiTheme="minorHAnsi"/>
        </w:rPr>
      </w:pPr>
      <w:r w:rsidRPr="00087F2A">
        <w:rPr>
          <w:rFonts w:asciiTheme="minorHAnsi" w:hAnsiTheme="minorHAnsi"/>
        </w:rPr>
        <w:t>At its September 21</w:t>
      </w:r>
      <w:r w:rsidRPr="00087F2A">
        <w:rPr>
          <w:rFonts w:asciiTheme="minorHAnsi" w:hAnsiTheme="minorHAnsi"/>
          <w:vertAlign w:val="superscript"/>
        </w:rPr>
        <w:t>st</w:t>
      </w:r>
      <w:r w:rsidRPr="00087F2A">
        <w:rPr>
          <w:rFonts w:asciiTheme="minorHAnsi" w:hAnsiTheme="minorHAnsi"/>
        </w:rPr>
        <w:t xml:space="preserve"> meeting, the Board of Governors</w:t>
      </w:r>
      <w:r w:rsidR="00AB14FA" w:rsidRPr="00087F2A">
        <w:rPr>
          <w:rFonts w:asciiTheme="minorHAnsi" w:hAnsiTheme="minorHAnsi"/>
        </w:rPr>
        <w:t xml:space="preserve"> </w:t>
      </w:r>
      <w:r w:rsidRPr="00087F2A">
        <w:rPr>
          <w:rFonts w:asciiTheme="minorHAnsi" w:hAnsiTheme="minorHAnsi"/>
        </w:rPr>
        <w:t>directed the Chancellor to send the Task Force Report to the Department of Education</w:t>
      </w:r>
      <w:r w:rsidR="00663768" w:rsidRPr="00087F2A">
        <w:rPr>
          <w:rFonts w:asciiTheme="minorHAnsi" w:hAnsiTheme="minorHAnsi"/>
        </w:rPr>
        <w:t xml:space="preserve"> (DOE)</w:t>
      </w:r>
      <w:r w:rsidR="00087F2A" w:rsidRPr="00087F2A">
        <w:rPr>
          <w:rFonts w:asciiTheme="minorHAnsi" w:hAnsiTheme="minorHAnsi"/>
        </w:rPr>
        <w:t xml:space="preserve"> in order to meet the September 25 deadline of third party responses to the </w:t>
      </w:r>
      <w:r w:rsidR="00087F2A" w:rsidRPr="00087F2A">
        <w:rPr>
          <w:rFonts w:asciiTheme="minorHAnsi" w:hAnsiTheme="minorHAnsi"/>
          <w:color w:val="000000"/>
        </w:rPr>
        <w:t xml:space="preserve">National Advisory Committee on Institutional Quality and Integrity Meeting (NACIQI), scheduled for </w:t>
      </w:r>
      <w:r w:rsidR="00087F2A" w:rsidRPr="00087F2A">
        <w:rPr>
          <w:rFonts w:asciiTheme="minorHAnsi" w:eastAsia="Times New Roman" w:hAnsiTheme="minorHAnsi" w:cs="Courier New"/>
          <w:color w:val="000000"/>
        </w:rPr>
        <w:t xml:space="preserve">December </w:t>
      </w:r>
      <w:r w:rsidR="00087F2A" w:rsidRPr="00087F2A">
        <w:rPr>
          <w:rFonts w:asciiTheme="minorHAnsi" w:hAnsiTheme="minorHAnsi"/>
          <w:color w:val="000000"/>
        </w:rPr>
        <w:t xml:space="preserve">16-18, 2015, in Washington, D.C.  </w:t>
      </w:r>
      <w:r w:rsidRPr="00087F2A">
        <w:rPr>
          <w:rFonts w:asciiTheme="minorHAnsi" w:hAnsiTheme="minorHAnsi"/>
        </w:rPr>
        <w:t xml:space="preserve"> </w:t>
      </w:r>
      <w:r w:rsidR="00087F2A" w:rsidRPr="00087F2A">
        <w:rPr>
          <w:rFonts w:asciiTheme="minorHAnsi" w:hAnsiTheme="minorHAnsi"/>
        </w:rPr>
        <w:t>I read the 57-page report from the BOG meeting (in closed caption form).</w:t>
      </w:r>
      <w:r w:rsidR="00087F2A" w:rsidRPr="00087F2A">
        <w:rPr>
          <w:rFonts w:asciiTheme="minorHAnsi" w:hAnsiTheme="minorHAnsi"/>
        </w:rPr>
        <w:t xml:space="preserve">  </w:t>
      </w:r>
      <w:r w:rsidRPr="00087F2A">
        <w:rPr>
          <w:rFonts w:asciiTheme="minorHAnsi" w:hAnsiTheme="minorHAnsi"/>
        </w:rPr>
        <w:t xml:space="preserve">The Chancellor’s Office declined to meet with </w:t>
      </w:r>
      <w:proofErr w:type="gramStart"/>
      <w:r w:rsidRPr="00087F2A">
        <w:rPr>
          <w:rFonts w:asciiTheme="minorHAnsi" w:hAnsiTheme="minorHAnsi"/>
        </w:rPr>
        <w:t>ACCJC</w:t>
      </w:r>
      <w:r w:rsidR="00F653A6">
        <w:rPr>
          <w:rFonts w:asciiTheme="minorHAnsi" w:hAnsiTheme="minorHAnsi"/>
        </w:rPr>
        <w:t xml:space="preserve"> </w:t>
      </w:r>
      <w:r w:rsidRPr="00087F2A">
        <w:rPr>
          <w:rFonts w:asciiTheme="minorHAnsi" w:hAnsiTheme="minorHAnsi"/>
        </w:rPr>
        <w:t>,</w:t>
      </w:r>
      <w:proofErr w:type="gramEnd"/>
      <w:r w:rsidRPr="00087F2A">
        <w:rPr>
          <w:rFonts w:asciiTheme="minorHAnsi" w:hAnsiTheme="minorHAnsi"/>
        </w:rPr>
        <w:t xml:space="preserve"> which </w:t>
      </w:r>
      <w:r w:rsidR="00D8685A" w:rsidRPr="00087F2A">
        <w:rPr>
          <w:rFonts w:asciiTheme="minorHAnsi" w:hAnsiTheme="minorHAnsi"/>
        </w:rPr>
        <w:t>held</w:t>
      </w:r>
      <w:r w:rsidRPr="00087F2A">
        <w:rPr>
          <w:rFonts w:asciiTheme="minorHAnsi" w:hAnsiTheme="minorHAnsi"/>
        </w:rPr>
        <w:t xml:space="preserve"> an open meeting </w:t>
      </w:r>
      <w:r w:rsidR="00D8685A" w:rsidRPr="00087F2A">
        <w:rPr>
          <w:rFonts w:asciiTheme="minorHAnsi" w:hAnsiTheme="minorHAnsi"/>
        </w:rPr>
        <w:t>Friday, October 9, which I attended</w:t>
      </w:r>
      <w:r w:rsidRPr="00087F2A">
        <w:rPr>
          <w:rFonts w:asciiTheme="minorHAnsi" w:hAnsiTheme="minorHAnsi"/>
        </w:rPr>
        <w:t>.</w:t>
      </w:r>
      <w:r w:rsidR="00AB14FA" w:rsidRPr="00087F2A">
        <w:rPr>
          <w:rFonts w:asciiTheme="minorHAnsi" w:hAnsiTheme="minorHAnsi"/>
        </w:rPr>
        <w:t xml:space="preserve">  </w:t>
      </w:r>
    </w:p>
    <w:p w:rsidR="00087F2A" w:rsidRDefault="00087F2A" w:rsidP="00E81C0D">
      <w:pPr>
        <w:pStyle w:val="BodyText"/>
        <w:ind w:left="-105"/>
        <w:rPr>
          <w:rFonts w:asciiTheme="minorHAnsi" w:hAnsiTheme="minorHAnsi"/>
        </w:rPr>
      </w:pPr>
    </w:p>
    <w:p w:rsidR="00E81C0D" w:rsidRDefault="00E81C0D" w:rsidP="00E81C0D">
      <w:pPr>
        <w:pStyle w:val="BodyText"/>
        <w:ind w:left="-105"/>
        <w:rPr>
          <w:rFonts w:asciiTheme="minorHAnsi" w:hAnsiTheme="minorHAnsi"/>
        </w:rPr>
      </w:pPr>
      <w:r>
        <w:rPr>
          <w:rFonts w:asciiTheme="minorHAnsi" w:hAnsiTheme="minorHAnsi"/>
        </w:rPr>
        <w:t>Some colleges</w:t>
      </w:r>
      <w:r w:rsidR="00663768">
        <w:rPr>
          <w:rFonts w:asciiTheme="minorHAnsi" w:hAnsiTheme="minorHAnsi"/>
        </w:rPr>
        <w:t xml:space="preserve"> and districts</w:t>
      </w:r>
      <w:r>
        <w:rPr>
          <w:rFonts w:asciiTheme="minorHAnsi" w:hAnsiTheme="minorHAnsi"/>
        </w:rPr>
        <w:t xml:space="preserve"> have developed resolutions </w:t>
      </w:r>
      <w:r w:rsidR="00E84EA3">
        <w:rPr>
          <w:rFonts w:asciiTheme="minorHAnsi" w:hAnsiTheme="minorHAnsi"/>
        </w:rPr>
        <w:t>or written letters to the DOE</w:t>
      </w:r>
      <w:r w:rsidR="00F653A6">
        <w:rPr>
          <w:rFonts w:asciiTheme="minorHAnsi" w:hAnsiTheme="minorHAnsi"/>
        </w:rPr>
        <w:t xml:space="preserve"> or the State Chancellor’s Office </w:t>
      </w:r>
      <w:r>
        <w:rPr>
          <w:rFonts w:asciiTheme="minorHAnsi" w:hAnsiTheme="minorHAnsi"/>
        </w:rPr>
        <w:t>in support of ACCJC</w:t>
      </w:r>
      <w:r w:rsidR="00E84EA3">
        <w:rPr>
          <w:rFonts w:asciiTheme="minorHAnsi" w:hAnsiTheme="minorHAnsi"/>
        </w:rPr>
        <w:t xml:space="preserve"> (Victor Valley, West Hills, Rancho Santiago, </w:t>
      </w:r>
      <w:proofErr w:type="spellStart"/>
      <w:r w:rsidR="00E84EA3">
        <w:rPr>
          <w:rFonts w:asciiTheme="minorHAnsi" w:hAnsiTheme="minorHAnsi"/>
        </w:rPr>
        <w:t>Gavilan</w:t>
      </w:r>
      <w:proofErr w:type="spellEnd"/>
      <w:r w:rsidR="00D8685A">
        <w:rPr>
          <w:rFonts w:asciiTheme="minorHAnsi" w:hAnsiTheme="minorHAnsi"/>
        </w:rPr>
        <w:t>, State Center</w:t>
      </w:r>
      <w:r w:rsidR="00E84EA3">
        <w:rPr>
          <w:rFonts w:asciiTheme="minorHAnsi" w:hAnsiTheme="minorHAnsi"/>
        </w:rPr>
        <w:t>)</w:t>
      </w:r>
      <w:r>
        <w:rPr>
          <w:rFonts w:asciiTheme="minorHAnsi" w:hAnsiTheme="minorHAnsi"/>
        </w:rPr>
        <w:t xml:space="preserve">; the state Academic Senate has </w:t>
      </w:r>
      <w:r w:rsidR="00087F2A">
        <w:rPr>
          <w:rFonts w:asciiTheme="minorHAnsi" w:hAnsiTheme="minorHAnsi"/>
        </w:rPr>
        <w:t>a</w:t>
      </w:r>
      <w:r w:rsidR="00F653A6">
        <w:rPr>
          <w:rFonts w:asciiTheme="minorHAnsi" w:hAnsiTheme="minorHAnsi"/>
        </w:rPr>
        <w:t xml:space="preserve"> </w:t>
      </w:r>
      <w:r w:rsidR="00087F2A">
        <w:rPr>
          <w:rFonts w:asciiTheme="minorHAnsi" w:hAnsiTheme="minorHAnsi"/>
        </w:rPr>
        <w:t>resolution</w:t>
      </w:r>
      <w:r>
        <w:rPr>
          <w:rFonts w:asciiTheme="minorHAnsi" w:hAnsiTheme="minorHAnsi"/>
        </w:rPr>
        <w:t xml:space="preserve"> up for voting at the Fall Plenary, November 2015</w:t>
      </w:r>
      <w:r w:rsidR="00F653A6">
        <w:rPr>
          <w:rFonts w:asciiTheme="minorHAnsi" w:hAnsiTheme="minorHAnsi"/>
        </w:rPr>
        <w:t xml:space="preserve">, to </w:t>
      </w:r>
      <w:r w:rsidR="00AB14FA">
        <w:rPr>
          <w:rFonts w:asciiTheme="minorHAnsi" w:hAnsiTheme="minorHAnsi"/>
        </w:rPr>
        <w:t>endorse the report from the Chancellor’s Office.</w:t>
      </w:r>
      <w:r w:rsidR="00D8685A">
        <w:rPr>
          <w:rFonts w:asciiTheme="minorHAnsi" w:hAnsiTheme="minorHAnsi"/>
        </w:rPr>
        <w:t xml:space="preserve">  CCA also has a </w:t>
      </w:r>
      <w:r w:rsidR="00663768">
        <w:rPr>
          <w:rFonts w:asciiTheme="minorHAnsi" w:hAnsiTheme="minorHAnsi"/>
        </w:rPr>
        <w:t xml:space="preserve">proposed </w:t>
      </w:r>
      <w:r w:rsidR="00D8685A">
        <w:rPr>
          <w:rFonts w:asciiTheme="minorHAnsi" w:hAnsiTheme="minorHAnsi"/>
        </w:rPr>
        <w:t>resolution in support of the Task Force Report.</w:t>
      </w:r>
    </w:p>
    <w:p w:rsidR="00E81C0D" w:rsidRDefault="00E81C0D" w:rsidP="00E81C0D">
      <w:pPr>
        <w:pStyle w:val="BodyText"/>
        <w:ind w:left="-105"/>
        <w:rPr>
          <w:rFonts w:asciiTheme="minorHAnsi" w:hAnsiTheme="minorHAnsi"/>
        </w:rPr>
      </w:pPr>
    </w:p>
    <w:p w:rsidR="00AB14FA" w:rsidRDefault="00E81C0D" w:rsidP="00AB14FA">
      <w:pPr>
        <w:pStyle w:val="BodyText"/>
        <w:ind w:left="-105"/>
        <w:rPr>
          <w:rStyle w:val="Hyperlink"/>
          <w:rFonts w:asciiTheme="minorHAnsi" w:hAnsiTheme="minorHAnsi"/>
        </w:rPr>
      </w:pPr>
      <w:r>
        <w:rPr>
          <w:rFonts w:asciiTheme="minorHAnsi" w:hAnsiTheme="minorHAnsi"/>
        </w:rPr>
        <w:t xml:space="preserve">AIQ has been reading and discussing the documents as they appear.  </w:t>
      </w:r>
      <w:r w:rsidR="00F3265D">
        <w:rPr>
          <w:rFonts w:asciiTheme="minorHAnsi" w:hAnsiTheme="minorHAnsi"/>
        </w:rPr>
        <w:t xml:space="preserve">The report first appeared on our September 1, 2015 agenda.  </w:t>
      </w:r>
      <w:r>
        <w:rPr>
          <w:rFonts w:asciiTheme="minorHAnsi" w:hAnsiTheme="minorHAnsi"/>
        </w:rPr>
        <w:t xml:space="preserve">We now have ACCJC’s written response and its letter to the Department of Education. </w:t>
      </w:r>
      <w:r w:rsidR="00AB14FA">
        <w:rPr>
          <w:rFonts w:asciiTheme="minorHAnsi" w:hAnsiTheme="minorHAnsi"/>
        </w:rPr>
        <w:t xml:space="preserve"> Relevant documents are posted and continue to be posted at the AIQ page</w:t>
      </w:r>
      <w:r w:rsidR="00F3265D">
        <w:rPr>
          <w:rFonts w:asciiTheme="minorHAnsi" w:hAnsiTheme="minorHAnsi"/>
        </w:rPr>
        <w:t>, including my comments to the ACCJC on October 9</w:t>
      </w:r>
      <w:r w:rsidR="00AB14FA">
        <w:rPr>
          <w:rFonts w:asciiTheme="minorHAnsi" w:hAnsiTheme="minorHAnsi"/>
        </w:rPr>
        <w:t xml:space="preserve">:  </w:t>
      </w:r>
      <w:hyperlink r:id="rId9" w:history="1">
        <w:r w:rsidR="00AB14FA" w:rsidRPr="00EE603B">
          <w:rPr>
            <w:rStyle w:val="Hyperlink"/>
            <w:rFonts w:asciiTheme="minorHAnsi" w:hAnsiTheme="minorHAnsi"/>
          </w:rPr>
          <w:t>https://committees.kccd.edu/bc/committee/accreditation</w:t>
        </w:r>
      </w:hyperlink>
    </w:p>
    <w:p w:rsidR="00FC7A6A" w:rsidRDefault="00FC7A6A" w:rsidP="00AB14FA">
      <w:pPr>
        <w:pStyle w:val="BodyText"/>
        <w:ind w:left="-105"/>
        <w:rPr>
          <w:rFonts w:asciiTheme="minorHAnsi" w:hAnsiTheme="minorHAnsi"/>
        </w:rPr>
      </w:pPr>
      <w:r w:rsidRPr="00FC7A6A">
        <w:rPr>
          <w:rFonts w:asciiTheme="minorHAnsi" w:hAnsiTheme="minorHAnsi"/>
          <w:b/>
          <w:noProof/>
        </w:rPr>
        <mc:AlternateContent>
          <mc:Choice Requires="wps">
            <w:drawing>
              <wp:anchor distT="0" distB="0" distL="114300" distR="114300" simplePos="0" relativeHeight="251661312" behindDoc="0" locked="0" layoutInCell="1" allowOverlap="1" wp14:anchorId="16314285" wp14:editId="7AD19F76">
                <wp:simplePos x="0" y="0"/>
                <wp:positionH relativeFrom="column">
                  <wp:posOffset>-19050</wp:posOffset>
                </wp:positionH>
                <wp:positionV relativeFrom="paragraph">
                  <wp:posOffset>105410</wp:posOffset>
                </wp:positionV>
                <wp:extent cx="5734050" cy="333375"/>
                <wp:effectExtent l="19050" t="1905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3375"/>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rsidR="00FC7A6A" w:rsidRDefault="00FC7A6A" w:rsidP="00FC7A6A">
                            <w:pPr>
                              <w:pStyle w:val="BodyText"/>
                              <w:ind w:left="-105"/>
                              <w:rPr>
                                <w:rFonts w:asciiTheme="minorHAnsi" w:hAnsiTheme="minorHAnsi"/>
                                <w:b/>
                              </w:rPr>
                            </w:pPr>
                            <w:r w:rsidRPr="00D8685A">
                              <w:rPr>
                                <w:rFonts w:asciiTheme="minorHAnsi" w:hAnsiTheme="minorHAnsi"/>
                                <w:b/>
                              </w:rPr>
                              <w:t xml:space="preserve">AIQ met October 13, 2015 and voted </w:t>
                            </w:r>
                            <w:r>
                              <w:rPr>
                                <w:rFonts w:asciiTheme="minorHAnsi" w:hAnsiTheme="minorHAnsi"/>
                                <w:b/>
                              </w:rPr>
                              <w:t xml:space="preserve">unanimously </w:t>
                            </w:r>
                            <w:r w:rsidRPr="00D8685A">
                              <w:rPr>
                                <w:rFonts w:asciiTheme="minorHAnsi" w:hAnsiTheme="minorHAnsi"/>
                                <w:b/>
                              </w:rPr>
                              <w:t>not to support the following resolutions:</w:t>
                            </w:r>
                          </w:p>
                          <w:p w:rsidR="00FC7A6A" w:rsidRDefault="00FC7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8.3pt;width:451.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" fillcolor="white [3201]" strokecolor="#c0504d [3205]" strokeweight="3pt">
                <v:textbox>
                  <w:txbxContent>
                    <w:p w:rsidR="00FC7A6A" w:rsidRDefault="00FC7A6A" w:rsidP="00FC7A6A">
                      <w:pPr>
                        <w:pStyle w:val="BodyText"/>
                        <w:ind w:left="-105"/>
                        <w:rPr>
                          <w:rFonts w:asciiTheme="minorHAnsi" w:hAnsiTheme="minorHAnsi"/>
                          <w:b/>
                        </w:rPr>
                      </w:pPr>
                      <w:r w:rsidRPr="00D8685A">
                        <w:rPr>
                          <w:rFonts w:asciiTheme="minorHAnsi" w:hAnsiTheme="minorHAnsi"/>
                          <w:b/>
                        </w:rPr>
                        <w:t xml:space="preserve">AIQ met October 13, 2015 and voted </w:t>
                      </w:r>
                      <w:r>
                        <w:rPr>
                          <w:rFonts w:asciiTheme="minorHAnsi" w:hAnsiTheme="minorHAnsi"/>
                          <w:b/>
                        </w:rPr>
                        <w:t xml:space="preserve">unanimously </w:t>
                      </w:r>
                      <w:r w:rsidRPr="00D8685A">
                        <w:rPr>
                          <w:rFonts w:asciiTheme="minorHAnsi" w:hAnsiTheme="minorHAnsi"/>
                          <w:b/>
                        </w:rPr>
                        <w:t>not to support the following resolutions:</w:t>
                      </w:r>
                    </w:p>
                    <w:p w:rsidR="00FC7A6A" w:rsidRDefault="00FC7A6A"/>
                  </w:txbxContent>
                </v:textbox>
              </v:shape>
            </w:pict>
          </mc:Fallback>
        </mc:AlternateContent>
      </w:r>
    </w:p>
    <w:p w:rsidR="00E81C0D" w:rsidRDefault="00E81C0D" w:rsidP="00E81C0D">
      <w:pPr>
        <w:pStyle w:val="BodyText"/>
        <w:ind w:left="-105"/>
        <w:rPr>
          <w:rFonts w:asciiTheme="minorHAnsi" w:hAnsiTheme="minorHAnsi"/>
        </w:rPr>
      </w:pPr>
    </w:p>
    <w:p w:rsidR="00F653A6" w:rsidRDefault="00F653A6" w:rsidP="00F653A6">
      <w:pPr>
        <w:pStyle w:val="BodyText"/>
        <w:ind w:left="-105"/>
        <w:rPr>
          <w:rFonts w:asciiTheme="minorHAnsi" w:hAnsiTheme="minorHAnsi"/>
          <w:b/>
        </w:rPr>
      </w:pPr>
    </w:p>
    <w:p w:rsidR="00F653A6" w:rsidRDefault="00D8685A" w:rsidP="00F653A6">
      <w:pPr>
        <w:pStyle w:val="BodyText"/>
        <w:ind w:left="-105"/>
        <w:rPr>
          <w:rFonts w:ascii="Times New Roman" w:eastAsia="Times New Roman" w:hAnsi="Times New Roman" w:cs="Times New Roman"/>
          <w:bCs/>
          <w:i/>
          <w:iCs/>
          <w:color w:val="191919"/>
        </w:rPr>
      </w:pPr>
      <w:r w:rsidRPr="00F653A6">
        <w:rPr>
          <w:rFonts w:ascii="Times New Roman" w:eastAsia="Times New Roman" w:hAnsi="Times New Roman" w:cs="Times New Roman"/>
          <w:b/>
          <w:bCs/>
          <w:color w:val="191919"/>
        </w:rPr>
        <w:t xml:space="preserve">Academic Senate Resolution </w:t>
      </w:r>
      <w:r w:rsidRPr="00F653A6">
        <w:rPr>
          <w:rFonts w:ascii="Times New Roman" w:eastAsia="Times New Roman" w:hAnsi="Times New Roman" w:cs="Times New Roman"/>
          <w:b/>
          <w:bCs/>
          <w:color w:val="191919"/>
        </w:rPr>
        <w:t>2.01</w:t>
      </w:r>
      <w:r w:rsidRPr="00663768">
        <w:rPr>
          <w:rFonts w:ascii="Times New Roman" w:eastAsia="Times New Roman" w:hAnsi="Times New Roman" w:cs="Times New Roman"/>
          <w:bCs/>
          <w:color w:val="191919"/>
        </w:rPr>
        <w:t>   F15      Adopt the ASCCC Paper </w:t>
      </w:r>
      <w:r w:rsidRPr="00663768">
        <w:rPr>
          <w:rFonts w:ascii="Times New Roman" w:eastAsia="Times New Roman" w:hAnsi="Times New Roman" w:cs="Times New Roman"/>
          <w:bCs/>
          <w:i/>
          <w:iCs/>
          <w:color w:val="191919"/>
        </w:rPr>
        <w:t>Effective Practices in Accreditation</w:t>
      </w:r>
    </w:p>
    <w:p w:rsidR="00F653A6" w:rsidRDefault="00D8685A" w:rsidP="00F653A6">
      <w:pPr>
        <w:pStyle w:val="BodyText"/>
        <w:ind w:left="-105"/>
        <w:rPr>
          <w:rFonts w:ascii="Times New Roman" w:eastAsia="Times New Roman" w:hAnsi="Times New Roman" w:cs="Times New Roman"/>
          <w:color w:val="222222"/>
        </w:rPr>
      </w:pPr>
      <w:r w:rsidRPr="00663768">
        <w:rPr>
          <w:rFonts w:ascii="Times New Roman" w:eastAsia="Times New Roman" w:hAnsi="Times New Roman" w:cs="Times New Roman"/>
          <w:color w:val="222222"/>
        </w:rPr>
        <w:t>Whereas, Accreditation is an ongoing concern for all colleges in the California Community College System;</w:t>
      </w:r>
    </w:p>
    <w:p w:rsidR="00F653A6" w:rsidRDefault="00D8685A" w:rsidP="00F653A6">
      <w:pPr>
        <w:pStyle w:val="BodyText"/>
        <w:ind w:left="-105"/>
        <w:rPr>
          <w:rFonts w:ascii="Times New Roman" w:eastAsia="Times New Roman" w:hAnsi="Times New Roman" w:cs="Times New Roman"/>
          <w:color w:val="222222"/>
        </w:rPr>
      </w:pPr>
      <w:r w:rsidRPr="00663768">
        <w:rPr>
          <w:rFonts w:ascii="Times New Roman" w:eastAsia="Times New Roman" w:hAnsi="Times New Roman" w:cs="Times New Roman"/>
          <w:color w:val="222222"/>
        </w:rPr>
        <w:t>Whereas, Faculty participation in the accreditation process and the role of faculty in maintaining an individual college’s accreditation are essential and have been the subject of many Academic Senate for California Community Colleges (ASCCC) </w:t>
      </w:r>
      <w:r w:rsidRPr="00663768">
        <w:rPr>
          <w:rFonts w:ascii="Times New Roman" w:eastAsia="Times New Roman" w:hAnsi="Times New Roman" w:cs="Times New Roman"/>
          <w:i/>
          <w:iCs/>
          <w:color w:val="222222"/>
        </w:rPr>
        <w:t>Rostrum</w:t>
      </w:r>
      <w:r w:rsidRPr="00663768">
        <w:rPr>
          <w:rFonts w:ascii="Times New Roman" w:eastAsia="Times New Roman" w:hAnsi="Times New Roman" w:cs="Times New Roman"/>
          <w:color w:val="222222"/>
        </w:rPr>
        <w:t> articles, resolutions, and breakout sessions; and</w:t>
      </w:r>
    </w:p>
    <w:p w:rsidR="00F653A6" w:rsidRDefault="00D8685A" w:rsidP="00F653A6">
      <w:pPr>
        <w:pStyle w:val="BodyText"/>
        <w:ind w:left="-105"/>
        <w:rPr>
          <w:rFonts w:ascii="Times New Roman" w:eastAsia="Times New Roman" w:hAnsi="Times New Roman" w:cs="Times New Roman"/>
          <w:color w:val="222222"/>
        </w:rPr>
      </w:pPr>
      <w:r w:rsidRPr="00663768">
        <w:rPr>
          <w:rFonts w:ascii="Times New Roman" w:eastAsia="Times New Roman" w:hAnsi="Times New Roman" w:cs="Times New Roman"/>
          <w:color w:val="222222"/>
        </w:rPr>
        <w:t>Whereas, Resolution 02.01 S12 directed the ASCCC to develop resources, including a paper, on effective practices for accreditation compliance to be used by faculty at the local level;</w:t>
      </w:r>
    </w:p>
    <w:p w:rsidR="00663768" w:rsidRPr="00F653A6" w:rsidRDefault="00D8685A" w:rsidP="00F653A6">
      <w:pPr>
        <w:pStyle w:val="BodyText"/>
        <w:ind w:left="-105"/>
        <w:rPr>
          <w:rFonts w:asciiTheme="minorHAnsi" w:hAnsiTheme="minorHAnsi"/>
          <w:b/>
        </w:rPr>
      </w:pPr>
      <w:r w:rsidRPr="00663768">
        <w:rPr>
          <w:rFonts w:ascii="Times New Roman" w:eastAsia="Times New Roman" w:hAnsi="Times New Roman" w:cs="Times New Roman"/>
          <w:color w:val="222222"/>
        </w:rPr>
        <w:t xml:space="preserve">Resolved, </w:t>
      </w:r>
      <w:proofErr w:type="gramStart"/>
      <w:r w:rsidRPr="00663768">
        <w:rPr>
          <w:rFonts w:ascii="Times New Roman" w:eastAsia="Times New Roman" w:hAnsi="Times New Roman" w:cs="Times New Roman"/>
          <w:color w:val="222222"/>
        </w:rPr>
        <w:t>That</w:t>
      </w:r>
      <w:proofErr w:type="gramEnd"/>
      <w:r w:rsidRPr="00663768">
        <w:rPr>
          <w:rFonts w:ascii="Times New Roman" w:eastAsia="Times New Roman" w:hAnsi="Times New Roman" w:cs="Times New Roman"/>
          <w:color w:val="222222"/>
        </w:rPr>
        <w:t xml:space="preserve"> the Academic Senate for California Community Colleges adopt the paper </w:t>
      </w:r>
      <w:r w:rsidRPr="00663768">
        <w:rPr>
          <w:rFonts w:ascii="Times New Roman" w:eastAsia="Times New Roman" w:hAnsi="Times New Roman" w:cs="Times New Roman"/>
          <w:i/>
          <w:iCs/>
          <w:color w:val="222222"/>
        </w:rPr>
        <w:t>Effective Practices in Accreditation: A Guide To Support Colleges in the Accreditation Cycle</w:t>
      </w:r>
      <w:r w:rsidRPr="00663768">
        <w:rPr>
          <w:rFonts w:ascii="Times New Roman" w:eastAsia="Times New Roman" w:hAnsi="Times New Roman" w:cs="Times New Roman"/>
          <w:color w:val="222222"/>
        </w:rPr>
        <w:t> and disseminate the paper upon its adoption.</w:t>
      </w:r>
    </w:p>
    <w:p w:rsidR="00663768" w:rsidRPr="00663768" w:rsidRDefault="00FC7A6A" w:rsidP="00D8685A">
      <w:pPr>
        <w:shd w:val="clear" w:color="auto" w:fill="FFFFFF"/>
        <w:spacing w:line="240" w:lineRule="auto"/>
        <w:rPr>
          <w:rFonts w:ascii="Times New Roman" w:eastAsia="Times New Roman" w:hAnsi="Times New Roman" w:cs="Times New Roman"/>
          <w:color w:val="222222"/>
        </w:rPr>
      </w:pPr>
      <w:r w:rsidRPr="00FC7A6A">
        <w:rPr>
          <w:rFonts w:eastAsia="Times New Roman" w:cs="Times New Roman"/>
          <w:b/>
          <w:bCs/>
          <w:noProof/>
          <w:color w:val="191919"/>
        </w:rPr>
        <mc:AlternateContent>
          <mc:Choice Requires="wps">
            <w:drawing>
              <wp:anchor distT="0" distB="0" distL="114300" distR="114300" simplePos="0" relativeHeight="251659264" behindDoc="0" locked="0" layoutInCell="1" allowOverlap="1" wp14:anchorId="596E5B32" wp14:editId="79AD79A8">
                <wp:simplePos x="0" y="0"/>
                <wp:positionH relativeFrom="column">
                  <wp:posOffset>-19050</wp:posOffset>
                </wp:positionH>
                <wp:positionV relativeFrom="paragraph">
                  <wp:posOffset>103505</wp:posOffset>
                </wp:positionV>
                <wp:extent cx="5772150" cy="6572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57225"/>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rsidR="00FC7A6A" w:rsidRPr="000A5EAD" w:rsidRDefault="00FC7A6A" w:rsidP="00FC7A6A">
                            <w:pPr>
                              <w:shd w:val="clear" w:color="auto" w:fill="FFFFFF"/>
                              <w:spacing w:line="240" w:lineRule="auto"/>
                              <w:rPr>
                                <w:rFonts w:ascii="Times New Roman" w:eastAsia="Times New Roman" w:hAnsi="Times New Roman" w:cs="Times New Roman"/>
                                <w:b/>
                                <w:color w:val="222222"/>
                              </w:rPr>
                            </w:pPr>
                            <w:r w:rsidRPr="000A5EAD">
                              <w:rPr>
                                <w:rFonts w:eastAsia="Times New Roman" w:cs="Times New Roman"/>
                                <w:b/>
                                <w:bCs/>
                                <w:color w:val="191919"/>
                              </w:rPr>
                              <w:t xml:space="preserve">AIQ comment:  The paper appeared to be in draft form with underlining, editing comments, varying fonts, and basic spelling errors.  AIQ agrees with the spirit but not the execution.  AIQ will look at it again before Plenary to see if it has been finalized.  </w:t>
                            </w:r>
                          </w:p>
                          <w:p w:rsidR="00FC7A6A" w:rsidRDefault="00FC7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pt;margin-top:8.15pt;width:454.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" fillcolor="white [3201]" strokecolor="#c0504d [3205]" strokeweight="3pt">
                <v:textbox>
                  <w:txbxContent>
                    <w:p w:rsidR="00FC7A6A" w:rsidRPr="000A5EAD" w:rsidRDefault="00FC7A6A" w:rsidP="00FC7A6A">
                      <w:pPr>
                        <w:shd w:val="clear" w:color="auto" w:fill="FFFFFF"/>
                        <w:spacing w:line="240" w:lineRule="auto"/>
                        <w:rPr>
                          <w:rFonts w:ascii="Times New Roman" w:eastAsia="Times New Roman" w:hAnsi="Times New Roman" w:cs="Times New Roman"/>
                          <w:b/>
                          <w:color w:val="222222"/>
                        </w:rPr>
                      </w:pPr>
                      <w:r w:rsidRPr="000A5EAD">
                        <w:rPr>
                          <w:rFonts w:eastAsia="Times New Roman" w:cs="Times New Roman"/>
                          <w:b/>
                          <w:bCs/>
                          <w:color w:val="191919"/>
                        </w:rPr>
                        <w:t xml:space="preserve">AIQ comment:  The paper appeared to be in draft form with underlining, editing comments, varying fonts, and basic spelling errors.  AIQ agrees with the spirit but not the execution.  AIQ will look at it again before Plenary to see if it has been finalized.  </w:t>
                      </w:r>
                    </w:p>
                    <w:p w:rsidR="00FC7A6A" w:rsidRDefault="00FC7A6A"/>
                  </w:txbxContent>
                </v:textbox>
              </v:shape>
            </w:pict>
          </mc:Fallback>
        </mc:AlternateContent>
      </w:r>
    </w:p>
    <w:p w:rsidR="00D8685A" w:rsidRPr="00663768" w:rsidRDefault="00D8685A" w:rsidP="00D8685A">
      <w:pPr>
        <w:shd w:val="clear" w:color="auto" w:fill="FFFFFF"/>
        <w:spacing w:line="240" w:lineRule="auto"/>
        <w:rPr>
          <w:rFonts w:ascii="Lucida Calligraphy" w:eastAsia="Times New Roman" w:hAnsi="Lucida Calligraphy" w:cs="Times New Roman"/>
          <w:color w:val="222222"/>
        </w:rPr>
      </w:pPr>
    </w:p>
    <w:p w:rsidR="00D8685A" w:rsidRPr="00663768" w:rsidRDefault="00D8685A" w:rsidP="00D8685A">
      <w:pPr>
        <w:shd w:val="clear" w:color="auto" w:fill="FFFFFF"/>
        <w:spacing w:line="240" w:lineRule="auto"/>
        <w:rPr>
          <w:rFonts w:ascii="Lucida Calligraphy" w:eastAsia="Times New Roman" w:hAnsi="Lucida Calligraphy" w:cs="Times New Roman"/>
          <w:color w:val="222222"/>
        </w:rPr>
      </w:pPr>
      <w:bookmarkStart w:id="2" w:name="_Toc431743540"/>
      <w:r w:rsidRPr="00F653A6">
        <w:rPr>
          <w:rFonts w:ascii="Times New Roman" w:eastAsia="Times New Roman" w:hAnsi="Times New Roman" w:cs="Times New Roman"/>
          <w:b/>
          <w:bCs/>
          <w:color w:val="191919"/>
        </w:rPr>
        <w:lastRenderedPageBreak/>
        <w:t xml:space="preserve">Academic Senate Resolution </w:t>
      </w:r>
      <w:r w:rsidRPr="00F653A6">
        <w:rPr>
          <w:rFonts w:ascii="Times New Roman" w:eastAsia="Times New Roman" w:hAnsi="Times New Roman" w:cs="Times New Roman"/>
          <w:b/>
          <w:bCs/>
          <w:color w:val="191919"/>
        </w:rPr>
        <w:t>2.02</w:t>
      </w:r>
      <w:r w:rsidRPr="00663768">
        <w:rPr>
          <w:rFonts w:ascii="Times New Roman" w:eastAsia="Times New Roman" w:hAnsi="Times New Roman" w:cs="Times New Roman"/>
          <w:bCs/>
          <w:color w:val="191919"/>
        </w:rPr>
        <w:t>     F15      Endorse the CCCCO Task Force on Accreditation Report</w:t>
      </w:r>
      <w:bookmarkEnd w:id="2"/>
    </w:p>
    <w:p w:rsidR="00D8685A" w:rsidRPr="00663768" w:rsidRDefault="00D8685A" w:rsidP="00D8685A">
      <w:pPr>
        <w:shd w:val="clear" w:color="auto" w:fill="FFFFFF"/>
        <w:spacing w:line="240" w:lineRule="auto"/>
        <w:rPr>
          <w:rFonts w:ascii="Times New Roman" w:eastAsia="Times New Roman" w:hAnsi="Times New Roman" w:cs="Times New Roman"/>
          <w:color w:val="222222"/>
        </w:rPr>
      </w:pPr>
      <w:r w:rsidRPr="00663768">
        <w:rPr>
          <w:rFonts w:ascii="Times New Roman" w:eastAsia="Times New Roman" w:hAnsi="Times New Roman" w:cs="Times New Roman"/>
          <w:color w:val="222222"/>
        </w:rPr>
        <w:t>Whereas, The California Community Colleges Chancellor’s Office (CCCCO) convened the 2014-2015 Task Force on Accreditation to review and address serious concerns regarding California community colleges’ accreditation process;</w:t>
      </w:r>
    </w:p>
    <w:p w:rsidR="00D8685A" w:rsidRPr="00663768" w:rsidRDefault="00D8685A" w:rsidP="00D8685A">
      <w:pPr>
        <w:shd w:val="clear" w:color="auto" w:fill="FFFFFF"/>
        <w:spacing w:line="240" w:lineRule="auto"/>
        <w:rPr>
          <w:rFonts w:ascii="Lucida Calligraphy" w:eastAsia="Times New Roman" w:hAnsi="Lucida Calligraphy" w:cs="Times New Roman"/>
          <w:color w:val="222222"/>
        </w:rPr>
      </w:pPr>
      <w:r w:rsidRPr="00663768">
        <w:rPr>
          <w:rFonts w:ascii="Times New Roman" w:eastAsia="Times New Roman" w:hAnsi="Times New Roman" w:cs="Times New Roman"/>
          <w:color w:val="222222"/>
        </w:rPr>
        <w:t>Whereas, The president of the Academic Senate for California Community Colleges, several community college presidents and administrators, a representative from the Faculty Association of California Community Colleges, a community college board trustee, and the Vice Chancellor for Academic Affairs from the California Community College Chancellor’s Office were active participants in the work of the Task Force on Accreditation and unanimously supported its findings and recommendations;</w:t>
      </w:r>
    </w:p>
    <w:p w:rsidR="00D8685A" w:rsidRPr="00663768" w:rsidRDefault="00D8685A" w:rsidP="00D8685A">
      <w:pPr>
        <w:shd w:val="clear" w:color="auto" w:fill="FFFFFF"/>
        <w:spacing w:line="240" w:lineRule="auto"/>
        <w:rPr>
          <w:rFonts w:ascii="Lucida Calligraphy" w:eastAsia="Times New Roman" w:hAnsi="Lucida Calligraphy" w:cs="Times New Roman"/>
          <w:color w:val="222222"/>
        </w:rPr>
      </w:pPr>
      <w:r w:rsidRPr="00663768">
        <w:rPr>
          <w:rFonts w:ascii="Times New Roman" w:eastAsia="Times New Roman" w:hAnsi="Times New Roman" w:cs="Times New Roman"/>
          <w:color w:val="222222"/>
        </w:rPr>
        <w:t>Whereas, The recommendations of the Task Force on Accreditation were, in part, based on ASCCC resolutions, which included recommendations for the Accrediting Commission for Community and Junior Colleges (ACCJC); and</w:t>
      </w:r>
    </w:p>
    <w:p w:rsidR="00D8685A" w:rsidRPr="00663768" w:rsidRDefault="00D8685A" w:rsidP="00D8685A">
      <w:pPr>
        <w:shd w:val="clear" w:color="auto" w:fill="FFFFFF"/>
        <w:spacing w:line="240" w:lineRule="auto"/>
        <w:rPr>
          <w:rFonts w:ascii="Times New Roman" w:eastAsia="Times New Roman" w:hAnsi="Times New Roman" w:cs="Times New Roman"/>
          <w:color w:val="222222"/>
        </w:rPr>
      </w:pPr>
      <w:r w:rsidRPr="00663768">
        <w:rPr>
          <w:rFonts w:ascii="Times New Roman" w:eastAsia="Times New Roman" w:hAnsi="Times New Roman" w:cs="Times New Roman"/>
          <w:color w:val="222222"/>
        </w:rPr>
        <w:t>Whereas, According to the Task Force on Accreditation, “On several occasions the ACCJC has promised changes and has offered reports detailing their efforts to address concerns, but these promises and reports have led to few significant improvements”;</w:t>
      </w:r>
    </w:p>
    <w:p w:rsidR="00D8685A" w:rsidRPr="00663768" w:rsidRDefault="00D8685A" w:rsidP="00D8685A">
      <w:pPr>
        <w:shd w:val="clear" w:color="auto" w:fill="FFFFFF"/>
        <w:spacing w:line="240" w:lineRule="auto"/>
        <w:rPr>
          <w:rFonts w:ascii="Lucida Calligraphy" w:eastAsia="Times New Roman" w:hAnsi="Lucida Calligraphy" w:cs="Times New Roman"/>
          <w:color w:val="222222"/>
        </w:rPr>
      </w:pPr>
      <w:r w:rsidRPr="00663768">
        <w:rPr>
          <w:rFonts w:ascii="Times New Roman" w:eastAsia="Times New Roman" w:hAnsi="Times New Roman" w:cs="Times New Roman"/>
          <w:color w:val="222222"/>
        </w:rPr>
        <w:t xml:space="preserve">Resolved, That the Academic Senate for California Community Colleges endorse the recommendations of the California Community Colleges Chancellor’s Office Task </w:t>
      </w:r>
      <w:bookmarkStart w:id="3" w:name="_ftnref1"/>
      <w:r w:rsidR="00B55DA2" w:rsidRPr="00663768">
        <w:rPr>
          <w:rFonts w:ascii="Times New Roman" w:eastAsia="Times New Roman" w:hAnsi="Times New Roman" w:cs="Times New Roman"/>
          <w:color w:val="222222"/>
        </w:rPr>
        <w:t>Force Report on Accreditation</w:t>
      </w:r>
      <w:bookmarkEnd w:id="3"/>
      <w:r w:rsidR="00B55DA2" w:rsidRPr="00663768">
        <w:rPr>
          <w:rFonts w:ascii="Times New Roman" w:eastAsia="Times New Roman" w:hAnsi="Times New Roman" w:cs="Times New Roman"/>
          <w:color w:val="222222"/>
        </w:rPr>
        <w:t>.</w:t>
      </w:r>
    </w:p>
    <w:p w:rsidR="00D8685A" w:rsidRDefault="00FC7A6A" w:rsidP="00D8685A">
      <w:pPr>
        <w:shd w:val="clear" w:color="auto" w:fill="FFFFFF"/>
        <w:spacing w:line="240" w:lineRule="auto"/>
        <w:rPr>
          <w:rFonts w:ascii="Times New Roman" w:eastAsia="Times New Roman" w:hAnsi="Times New Roman" w:cs="Times New Roman"/>
          <w:color w:val="222222"/>
          <w:sz w:val="24"/>
          <w:szCs w:val="24"/>
        </w:rPr>
      </w:pPr>
      <w:r w:rsidRPr="00FC7A6A">
        <w:rPr>
          <w:rFonts w:eastAsia="Times New Roman" w:cs="Times New Roman"/>
          <w:b/>
          <w:noProof/>
          <w:color w:val="222222"/>
        </w:rPr>
        <mc:AlternateContent>
          <mc:Choice Requires="wps">
            <w:drawing>
              <wp:anchor distT="0" distB="0" distL="114300" distR="114300" simplePos="0" relativeHeight="251663360" behindDoc="0" locked="0" layoutInCell="1" allowOverlap="1" wp14:anchorId="21214546" wp14:editId="146B5E3B">
                <wp:simplePos x="0" y="0"/>
                <wp:positionH relativeFrom="column">
                  <wp:posOffset>-38100</wp:posOffset>
                </wp:positionH>
                <wp:positionV relativeFrom="paragraph">
                  <wp:posOffset>164465</wp:posOffset>
                </wp:positionV>
                <wp:extent cx="5953125" cy="307657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076575"/>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rsidR="00FC7A6A" w:rsidRDefault="00FC7A6A" w:rsidP="00FC7A6A">
                            <w:pPr>
                              <w:shd w:val="clear" w:color="auto" w:fill="FFFFFF"/>
                              <w:spacing w:line="240" w:lineRule="auto"/>
                              <w:rPr>
                                <w:rFonts w:eastAsia="Times New Roman" w:cs="Times New Roman"/>
                                <w:b/>
                                <w:color w:val="222222"/>
                              </w:rPr>
                            </w:pPr>
                            <w:r w:rsidRPr="00663768">
                              <w:rPr>
                                <w:rFonts w:eastAsia="Times New Roman" w:cs="Times New Roman"/>
                                <w:b/>
                                <w:color w:val="222222"/>
                              </w:rPr>
                              <w:t xml:space="preserve">AIQ comment:  The Task Force Report does not reflect Bakersfield College’s experience with the accreditation process and the ACCJC.  BC is one of 37 institutions that have not received a sanction in the last ten years.  BC has had the opportunity to respond to ACCJC proposed policy changes and proposed standards changes directly to the Commission and through the Academic Senate.  </w:t>
                            </w:r>
                          </w:p>
                          <w:p w:rsidR="00FC7A6A" w:rsidRPr="00663768" w:rsidRDefault="00FC7A6A" w:rsidP="00FC7A6A">
                            <w:pPr>
                              <w:shd w:val="clear" w:color="auto" w:fill="FFFFFF"/>
                              <w:spacing w:line="240" w:lineRule="auto"/>
                              <w:rPr>
                                <w:rFonts w:eastAsia="Times New Roman" w:cs="Times New Roman"/>
                                <w:b/>
                                <w:color w:val="222222"/>
                              </w:rPr>
                            </w:pPr>
                            <w:r>
                              <w:rPr>
                                <w:rFonts w:eastAsia="Times New Roman" w:cs="Times New Roman"/>
                                <w:b/>
                                <w:color w:val="222222"/>
                              </w:rPr>
                              <w:t xml:space="preserve">In contrast, </w:t>
                            </w:r>
                            <w:r w:rsidRPr="00663768">
                              <w:rPr>
                                <w:rFonts w:eastAsia="Times New Roman" w:cs="Times New Roman"/>
                                <w:b/>
                                <w:color w:val="222222"/>
                              </w:rPr>
                              <w:t>BC did not have the opportunity to give feedback or weigh in on the Task Force Report.</w:t>
                            </w:r>
                          </w:p>
                          <w:p w:rsidR="00FC7A6A" w:rsidRPr="00663768" w:rsidRDefault="00FC7A6A" w:rsidP="00FC7A6A">
                            <w:pPr>
                              <w:shd w:val="clear" w:color="auto" w:fill="FFFFFF"/>
                              <w:spacing w:line="240" w:lineRule="auto"/>
                              <w:rPr>
                                <w:rFonts w:eastAsia="Times New Roman" w:cs="Times New Roman"/>
                                <w:b/>
                                <w:color w:val="222222"/>
                              </w:rPr>
                            </w:pPr>
                            <w:r w:rsidRPr="00663768">
                              <w:rPr>
                                <w:rFonts w:eastAsia="Times New Roman" w:cs="Times New Roman"/>
                                <w:b/>
                                <w:color w:val="222222"/>
                              </w:rPr>
                              <w:t>The Report makes several statements without providing evidence and with which AIQ disagrees:</w:t>
                            </w:r>
                          </w:p>
                          <w:p w:rsidR="00FC7A6A" w:rsidRPr="00663768" w:rsidRDefault="00FC7A6A" w:rsidP="00FC7A6A">
                            <w:pPr>
                              <w:pStyle w:val="ListParagraph"/>
                              <w:numPr>
                                <w:ilvl w:val="0"/>
                                <w:numId w:val="4"/>
                              </w:numPr>
                              <w:shd w:val="clear" w:color="auto" w:fill="FFFFFF"/>
                              <w:spacing w:line="240" w:lineRule="auto"/>
                              <w:rPr>
                                <w:rFonts w:eastAsia="Times New Roman" w:cs="Times New Roman"/>
                                <w:b/>
                                <w:color w:val="222222"/>
                              </w:rPr>
                            </w:pPr>
                            <w:r w:rsidRPr="00663768">
                              <w:rPr>
                                <w:rFonts w:eastAsia="Times New Roman" w:cs="Times New Roman"/>
                                <w:b/>
                                <w:color w:val="222222"/>
                              </w:rPr>
                              <w:t>The structure of accreditation in this region no longer meets the current and anticipated needs of the California Community Colleges.</w:t>
                            </w:r>
                          </w:p>
                          <w:p w:rsidR="00FC7A6A" w:rsidRPr="00663768" w:rsidRDefault="00FC7A6A" w:rsidP="00FC7A6A">
                            <w:pPr>
                              <w:pStyle w:val="ListParagraph"/>
                              <w:numPr>
                                <w:ilvl w:val="0"/>
                                <w:numId w:val="4"/>
                              </w:numPr>
                              <w:shd w:val="clear" w:color="auto" w:fill="FFFFFF"/>
                              <w:spacing w:line="240" w:lineRule="auto"/>
                              <w:rPr>
                                <w:rFonts w:eastAsia="Times New Roman" w:cs="Times New Roman"/>
                                <w:b/>
                                <w:color w:val="222222"/>
                              </w:rPr>
                            </w:pPr>
                            <w:r w:rsidRPr="00663768">
                              <w:rPr>
                                <w:rFonts w:eastAsia="Times New Roman" w:cs="Times New Roman"/>
                                <w:b/>
                                <w:color w:val="222222"/>
                              </w:rPr>
                              <w:t>On several occasions the ACCJC has promised changes and has offered reports detailing their efforts to address concerns, but these promises and reports have led to few significant improvements.</w:t>
                            </w:r>
                          </w:p>
                          <w:p w:rsidR="00FC7A6A" w:rsidRPr="00663768" w:rsidRDefault="00FC7A6A" w:rsidP="00FC7A6A">
                            <w:pPr>
                              <w:pStyle w:val="ListParagraph"/>
                              <w:numPr>
                                <w:ilvl w:val="0"/>
                                <w:numId w:val="4"/>
                              </w:numPr>
                              <w:shd w:val="clear" w:color="auto" w:fill="FFFFFF"/>
                              <w:spacing w:line="240" w:lineRule="auto"/>
                              <w:rPr>
                                <w:rFonts w:eastAsia="Times New Roman" w:cs="Times New Roman"/>
                                <w:b/>
                                <w:color w:val="222222"/>
                              </w:rPr>
                            </w:pPr>
                            <w:r w:rsidRPr="00663768">
                              <w:rPr>
                                <w:rFonts w:eastAsia="Times New Roman" w:cs="Times New Roman"/>
                                <w:b/>
                                <w:color w:val="222222"/>
                              </w:rPr>
                              <w:t>The California Community College system and its member institutions have lost confidence in the ACCJC.</w:t>
                            </w:r>
                          </w:p>
                          <w:p w:rsidR="00FC7A6A" w:rsidRDefault="00FC7A6A" w:rsidP="00FC7A6A">
                            <w:pPr>
                              <w:shd w:val="clear" w:color="auto" w:fill="FFFFFF"/>
                              <w:spacing w:line="240" w:lineRule="auto"/>
                              <w:rPr>
                                <w:rFonts w:eastAsia="Times New Roman" w:cs="Times New Roman"/>
                                <w:b/>
                                <w:color w:val="222222"/>
                              </w:rPr>
                            </w:pPr>
                            <w:r w:rsidRPr="00663768">
                              <w:rPr>
                                <w:rFonts w:eastAsia="Times New Roman" w:cs="Times New Roman"/>
                                <w:b/>
                                <w:color w:val="222222"/>
                              </w:rPr>
                              <w:t xml:space="preserve">While the task force was a representative body, there is no indication that the representatives requested input from the people or groups they represented </w:t>
                            </w:r>
                            <w:r>
                              <w:rPr>
                                <w:rFonts w:eastAsia="Times New Roman" w:cs="Times New Roman"/>
                                <w:b/>
                                <w:color w:val="222222"/>
                              </w:rPr>
                              <w:t xml:space="preserve">as they </w:t>
                            </w:r>
                            <w:r w:rsidRPr="00663768">
                              <w:rPr>
                                <w:rFonts w:eastAsia="Times New Roman" w:cs="Times New Roman"/>
                                <w:b/>
                                <w:color w:val="222222"/>
                              </w:rPr>
                              <w:t>develop</w:t>
                            </w:r>
                            <w:r>
                              <w:rPr>
                                <w:rFonts w:eastAsia="Times New Roman" w:cs="Times New Roman"/>
                                <w:b/>
                                <w:color w:val="222222"/>
                              </w:rPr>
                              <w:t>ed</w:t>
                            </w:r>
                            <w:r w:rsidRPr="00663768">
                              <w:rPr>
                                <w:rFonts w:eastAsia="Times New Roman" w:cs="Times New Roman"/>
                                <w:b/>
                                <w:color w:val="222222"/>
                              </w:rPr>
                              <w:t xml:space="preserve"> the </w:t>
                            </w:r>
                            <w:r>
                              <w:rPr>
                                <w:rFonts w:eastAsia="Times New Roman" w:cs="Times New Roman"/>
                                <w:b/>
                                <w:color w:val="222222"/>
                              </w:rPr>
                              <w:t>report</w:t>
                            </w:r>
                            <w:r w:rsidRPr="00663768">
                              <w:rPr>
                                <w:rFonts w:eastAsia="Times New Roman" w:cs="Times New Roman"/>
                                <w:b/>
                                <w:color w:val="222222"/>
                              </w:rPr>
                              <w:t xml:space="preserve">.  </w:t>
                            </w:r>
                          </w:p>
                          <w:p w:rsidR="00FC7A6A" w:rsidRDefault="00FC7A6A" w:rsidP="00FC7A6A">
                            <w:pPr>
                              <w:shd w:val="clear" w:color="auto" w:fill="FFFFFF"/>
                              <w:spacing w:line="240" w:lineRule="auto"/>
                              <w:rPr>
                                <w:rFonts w:eastAsia="Times New Roman" w:cs="Times New Roman"/>
                                <w:b/>
                                <w:color w:val="222222"/>
                              </w:rPr>
                            </w:pPr>
                            <w:r>
                              <w:rPr>
                                <w:rFonts w:eastAsia="Times New Roman" w:cs="Times New Roman"/>
                                <w:b/>
                                <w:color w:val="222222"/>
                              </w:rPr>
                              <w:t>BC</w:t>
                            </w:r>
                            <w:r w:rsidRPr="00663768">
                              <w:rPr>
                                <w:rFonts w:eastAsia="Times New Roman" w:cs="Times New Roman"/>
                                <w:b/>
                                <w:color w:val="222222"/>
                              </w:rPr>
                              <w:t xml:space="preserve"> had no opportunity to give feedback or even to respond at any stage of the process.  </w:t>
                            </w:r>
                          </w:p>
                          <w:p w:rsidR="00FC7A6A" w:rsidRDefault="00FC7A6A" w:rsidP="00FC7A6A">
                            <w:pPr>
                              <w:shd w:val="clear" w:color="auto" w:fill="FFFFFF"/>
                              <w:spacing w:line="240" w:lineRule="auto"/>
                              <w:rPr>
                                <w:rFonts w:eastAsia="Times New Roman" w:cs="Times New Roman"/>
                                <w:b/>
                                <w:color w:val="222222"/>
                              </w:rPr>
                            </w:pPr>
                            <w:r>
                              <w:rPr>
                                <w:rFonts w:eastAsia="Times New Roman" w:cs="Times New Roman"/>
                                <w:b/>
                                <w:color w:val="222222"/>
                              </w:rPr>
                              <w:t>Finally, w</w:t>
                            </w:r>
                            <w:r w:rsidRPr="00663768">
                              <w:rPr>
                                <w:rFonts w:eastAsia="Times New Roman" w:cs="Times New Roman"/>
                                <w:b/>
                                <w:color w:val="222222"/>
                              </w:rPr>
                              <w:t>e have not lost confidence in the ACCJC</w:t>
                            </w:r>
                            <w:r>
                              <w:rPr>
                                <w:rFonts w:eastAsia="Times New Roman" w:cs="Times New Roman"/>
                                <w:b/>
                                <w:color w:val="222222"/>
                              </w:rPr>
                              <w:t xml:space="preserve"> or the accreditation process</w:t>
                            </w:r>
                            <w:r w:rsidRPr="00663768">
                              <w:rPr>
                                <w:rFonts w:eastAsia="Times New Roman" w:cs="Times New Roman"/>
                                <w:b/>
                                <w:color w:val="222222"/>
                              </w:rPr>
                              <w:t>.</w:t>
                            </w:r>
                            <w:r>
                              <w:rPr>
                                <w:rFonts w:eastAsia="Times New Roman" w:cs="Times New Roman"/>
                                <w:b/>
                                <w:color w:val="222222"/>
                              </w:rPr>
                              <w:t xml:space="preserve">  </w:t>
                            </w:r>
                          </w:p>
                          <w:p w:rsidR="00FC7A6A" w:rsidRDefault="00FC7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pt;margin-top:12.95pt;width:468.75pt;height:2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" fillcolor="white [3201]" strokecolor="#c0504d [3205]" strokeweight="3pt">
                <v:textbox>
                  <w:txbxContent>
                    <w:p w:rsidR="00FC7A6A" w:rsidRDefault="00FC7A6A" w:rsidP="00FC7A6A">
                      <w:pPr>
                        <w:shd w:val="clear" w:color="auto" w:fill="FFFFFF"/>
                        <w:spacing w:line="240" w:lineRule="auto"/>
                        <w:rPr>
                          <w:rFonts w:eastAsia="Times New Roman" w:cs="Times New Roman"/>
                          <w:b/>
                          <w:color w:val="222222"/>
                        </w:rPr>
                      </w:pPr>
                      <w:r w:rsidRPr="00663768">
                        <w:rPr>
                          <w:rFonts w:eastAsia="Times New Roman" w:cs="Times New Roman"/>
                          <w:b/>
                          <w:color w:val="222222"/>
                        </w:rPr>
                        <w:t xml:space="preserve">AIQ comment:  The Task Force Report does not reflect Bakersfield College’s experience with the accreditation process and the ACCJC.  BC is one of 37 institutions that have not received a sanction in the last ten years.  BC has had the opportunity to respond to ACCJC proposed policy changes and proposed standards changes directly to the Commission and through the Academic Senate.  </w:t>
                      </w:r>
                    </w:p>
                    <w:p w:rsidR="00FC7A6A" w:rsidRPr="00663768" w:rsidRDefault="00FC7A6A" w:rsidP="00FC7A6A">
                      <w:pPr>
                        <w:shd w:val="clear" w:color="auto" w:fill="FFFFFF"/>
                        <w:spacing w:line="240" w:lineRule="auto"/>
                        <w:rPr>
                          <w:rFonts w:eastAsia="Times New Roman" w:cs="Times New Roman"/>
                          <w:b/>
                          <w:color w:val="222222"/>
                        </w:rPr>
                      </w:pPr>
                      <w:r>
                        <w:rPr>
                          <w:rFonts w:eastAsia="Times New Roman" w:cs="Times New Roman"/>
                          <w:b/>
                          <w:color w:val="222222"/>
                        </w:rPr>
                        <w:t xml:space="preserve">In contrast, </w:t>
                      </w:r>
                      <w:r w:rsidRPr="00663768">
                        <w:rPr>
                          <w:rFonts w:eastAsia="Times New Roman" w:cs="Times New Roman"/>
                          <w:b/>
                          <w:color w:val="222222"/>
                        </w:rPr>
                        <w:t>BC did not have the opportunity to give feedback or weigh in on the Task Force Report.</w:t>
                      </w:r>
                    </w:p>
                    <w:p w:rsidR="00FC7A6A" w:rsidRPr="00663768" w:rsidRDefault="00FC7A6A" w:rsidP="00FC7A6A">
                      <w:pPr>
                        <w:shd w:val="clear" w:color="auto" w:fill="FFFFFF"/>
                        <w:spacing w:line="240" w:lineRule="auto"/>
                        <w:rPr>
                          <w:rFonts w:eastAsia="Times New Roman" w:cs="Times New Roman"/>
                          <w:b/>
                          <w:color w:val="222222"/>
                        </w:rPr>
                      </w:pPr>
                      <w:r w:rsidRPr="00663768">
                        <w:rPr>
                          <w:rFonts w:eastAsia="Times New Roman" w:cs="Times New Roman"/>
                          <w:b/>
                          <w:color w:val="222222"/>
                        </w:rPr>
                        <w:t>The Report makes several statements without providing evidence and with which AIQ disagrees:</w:t>
                      </w:r>
                    </w:p>
                    <w:p w:rsidR="00FC7A6A" w:rsidRPr="00663768" w:rsidRDefault="00FC7A6A" w:rsidP="00FC7A6A">
                      <w:pPr>
                        <w:pStyle w:val="ListParagraph"/>
                        <w:numPr>
                          <w:ilvl w:val="0"/>
                          <w:numId w:val="4"/>
                        </w:numPr>
                        <w:shd w:val="clear" w:color="auto" w:fill="FFFFFF"/>
                        <w:spacing w:line="240" w:lineRule="auto"/>
                        <w:rPr>
                          <w:rFonts w:eastAsia="Times New Roman" w:cs="Times New Roman"/>
                          <w:b/>
                          <w:color w:val="222222"/>
                        </w:rPr>
                      </w:pPr>
                      <w:r w:rsidRPr="00663768">
                        <w:rPr>
                          <w:rFonts w:eastAsia="Times New Roman" w:cs="Times New Roman"/>
                          <w:b/>
                          <w:color w:val="222222"/>
                        </w:rPr>
                        <w:t>The structure of accreditation in this region no longer meets the current and anticipated needs of the California Community Colleges.</w:t>
                      </w:r>
                    </w:p>
                    <w:p w:rsidR="00FC7A6A" w:rsidRPr="00663768" w:rsidRDefault="00FC7A6A" w:rsidP="00FC7A6A">
                      <w:pPr>
                        <w:pStyle w:val="ListParagraph"/>
                        <w:numPr>
                          <w:ilvl w:val="0"/>
                          <w:numId w:val="4"/>
                        </w:numPr>
                        <w:shd w:val="clear" w:color="auto" w:fill="FFFFFF"/>
                        <w:spacing w:line="240" w:lineRule="auto"/>
                        <w:rPr>
                          <w:rFonts w:eastAsia="Times New Roman" w:cs="Times New Roman"/>
                          <w:b/>
                          <w:color w:val="222222"/>
                        </w:rPr>
                      </w:pPr>
                      <w:r w:rsidRPr="00663768">
                        <w:rPr>
                          <w:rFonts w:eastAsia="Times New Roman" w:cs="Times New Roman"/>
                          <w:b/>
                          <w:color w:val="222222"/>
                        </w:rPr>
                        <w:t>On several occasions the ACCJC has promised changes and has offered reports detailing their efforts to address concerns, but these promises and reports have led to few significant improvements.</w:t>
                      </w:r>
                    </w:p>
                    <w:p w:rsidR="00FC7A6A" w:rsidRPr="00663768" w:rsidRDefault="00FC7A6A" w:rsidP="00FC7A6A">
                      <w:pPr>
                        <w:pStyle w:val="ListParagraph"/>
                        <w:numPr>
                          <w:ilvl w:val="0"/>
                          <w:numId w:val="4"/>
                        </w:numPr>
                        <w:shd w:val="clear" w:color="auto" w:fill="FFFFFF"/>
                        <w:spacing w:line="240" w:lineRule="auto"/>
                        <w:rPr>
                          <w:rFonts w:eastAsia="Times New Roman" w:cs="Times New Roman"/>
                          <w:b/>
                          <w:color w:val="222222"/>
                        </w:rPr>
                      </w:pPr>
                      <w:r w:rsidRPr="00663768">
                        <w:rPr>
                          <w:rFonts w:eastAsia="Times New Roman" w:cs="Times New Roman"/>
                          <w:b/>
                          <w:color w:val="222222"/>
                        </w:rPr>
                        <w:t>The California Community College system and its member institutions have lost confidence in the ACCJC.</w:t>
                      </w:r>
                    </w:p>
                    <w:p w:rsidR="00FC7A6A" w:rsidRDefault="00FC7A6A" w:rsidP="00FC7A6A">
                      <w:pPr>
                        <w:shd w:val="clear" w:color="auto" w:fill="FFFFFF"/>
                        <w:spacing w:line="240" w:lineRule="auto"/>
                        <w:rPr>
                          <w:rFonts w:eastAsia="Times New Roman" w:cs="Times New Roman"/>
                          <w:b/>
                          <w:color w:val="222222"/>
                        </w:rPr>
                      </w:pPr>
                      <w:r w:rsidRPr="00663768">
                        <w:rPr>
                          <w:rFonts w:eastAsia="Times New Roman" w:cs="Times New Roman"/>
                          <w:b/>
                          <w:color w:val="222222"/>
                        </w:rPr>
                        <w:t xml:space="preserve">While the task force was a representative body, there is no indication that the representatives requested input from the people or groups they represented </w:t>
                      </w:r>
                      <w:r>
                        <w:rPr>
                          <w:rFonts w:eastAsia="Times New Roman" w:cs="Times New Roman"/>
                          <w:b/>
                          <w:color w:val="222222"/>
                        </w:rPr>
                        <w:t xml:space="preserve">as they </w:t>
                      </w:r>
                      <w:r w:rsidRPr="00663768">
                        <w:rPr>
                          <w:rFonts w:eastAsia="Times New Roman" w:cs="Times New Roman"/>
                          <w:b/>
                          <w:color w:val="222222"/>
                        </w:rPr>
                        <w:t>develop</w:t>
                      </w:r>
                      <w:r>
                        <w:rPr>
                          <w:rFonts w:eastAsia="Times New Roman" w:cs="Times New Roman"/>
                          <w:b/>
                          <w:color w:val="222222"/>
                        </w:rPr>
                        <w:t>ed</w:t>
                      </w:r>
                      <w:r w:rsidRPr="00663768">
                        <w:rPr>
                          <w:rFonts w:eastAsia="Times New Roman" w:cs="Times New Roman"/>
                          <w:b/>
                          <w:color w:val="222222"/>
                        </w:rPr>
                        <w:t xml:space="preserve"> the </w:t>
                      </w:r>
                      <w:r>
                        <w:rPr>
                          <w:rFonts w:eastAsia="Times New Roman" w:cs="Times New Roman"/>
                          <w:b/>
                          <w:color w:val="222222"/>
                        </w:rPr>
                        <w:t>report</w:t>
                      </w:r>
                      <w:r w:rsidRPr="00663768">
                        <w:rPr>
                          <w:rFonts w:eastAsia="Times New Roman" w:cs="Times New Roman"/>
                          <w:b/>
                          <w:color w:val="222222"/>
                        </w:rPr>
                        <w:t xml:space="preserve">.  </w:t>
                      </w:r>
                    </w:p>
                    <w:p w:rsidR="00FC7A6A" w:rsidRDefault="00FC7A6A" w:rsidP="00FC7A6A">
                      <w:pPr>
                        <w:shd w:val="clear" w:color="auto" w:fill="FFFFFF"/>
                        <w:spacing w:line="240" w:lineRule="auto"/>
                        <w:rPr>
                          <w:rFonts w:eastAsia="Times New Roman" w:cs="Times New Roman"/>
                          <w:b/>
                          <w:color w:val="222222"/>
                        </w:rPr>
                      </w:pPr>
                      <w:r>
                        <w:rPr>
                          <w:rFonts w:eastAsia="Times New Roman" w:cs="Times New Roman"/>
                          <w:b/>
                          <w:color w:val="222222"/>
                        </w:rPr>
                        <w:t>BC</w:t>
                      </w:r>
                      <w:r w:rsidRPr="00663768">
                        <w:rPr>
                          <w:rFonts w:eastAsia="Times New Roman" w:cs="Times New Roman"/>
                          <w:b/>
                          <w:color w:val="222222"/>
                        </w:rPr>
                        <w:t xml:space="preserve"> had no opportunity to give feedback or even to respond at any stage of the process.  </w:t>
                      </w:r>
                    </w:p>
                    <w:p w:rsidR="00FC7A6A" w:rsidRDefault="00FC7A6A" w:rsidP="00FC7A6A">
                      <w:pPr>
                        <w:shd w:val="clear" w:color="auto" w:fill="FFFFFF"/>
                        <w:spacing w:line="240" w:lineRule="auto"/>
                        <w:rPr>
                          <w:rFonts w:eastAsia="Times New Roman" w:cs="Times New Roman"/>
                          <w:b/>
                          <w:color w:val="222222"/>
                        </w:rPr>
                      </w:pPr>
                      <w:r>
                        <w:rPr>
                          <w:rFonts w:eastAsia="Times New Roman" w:cs="Times New Roman"/>
                          <w:b/>
                          <w:color w:val="222222"/>
                        </w:rPr>
                        <w:t>Finally, w</w:t>
                      </w:r>
                      <w:r w:rsidRPr="00663768">
                        <w:rPr>
                          <w:rFonts w:eastAsia="Times New Roman" w:cs="Times New Roman"/>
                          <w:b/>
                          <w:color w:val="222222"/>
                        </w:rPr>
                        <w:t>e have not lost confidence in the ACCJC</w:t>
                      </w:r>
                      <w:r>
                        <w:rPr>
                          <w:rFonts w:eastAsia="Times New Roman" w:cs="Times New Roman"/>
                          <w:b/>
                          <w:color w:val="222222"/>
                        </w:rPr>
                        <w:t xml:space="preserve"> or the accreditation process</w:t>
                      </w:r>
                      <w:r w:rsidRPr="00663768">
                        <w:rPr>
                          <w:rFonts w:eastAsia="Times New Roman" w:cs="Times New Roman"/>
                          <w:b/>
                          <w:color w:val="222222"/>
                        </w:rPr>
                        <w:t>.</w:t>
                      </w:r>
                      <w:r>
                        <w:rPr>
                          <w:rFonts w:eastAsia="Times New Roman" w:cs="Times New Roman"/>
                          <w:b/>
                          <w:color w:val="222222"/>
                        </w:rPr>
                        <w:t xml:space="preserve">  </w:t>
                      </w:r>
                    </w:p>
                    <w:p w:rsidR="00FC7A6A" w:rsidRDefault="00FC7A6A"/>
                  </w:txbxContent>
                </v:textbox>
              </v:shape>
            </w:pict>
          </mc:Fallback>
        </mc:AlternateContent>
      </w:r>
    </w:p>
    <w:p w:rsidR="000A5EAD" w:rsidRDefault="000A5EAD"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FC7A6A" w:rsidRDefault="00FC7A6A" w:rsidP="00D8685A">
      <w:pPr>
        <w:shd w:val="clear" w:color="auto" w:fill="FFFFFF"/>
        <w:spacing w:line="240" w:lineRule="auto"/>
        <w:rPr>
          <w:rFonts w:eastAsia="Times New Roman" w:cs="Times New Roman"/>
          <w:b/>
          <w:color w:val="222222"/>
        </w:rPr>
      </w:pPr>
    </w:p>
    <w:p w:rsidR="000A5EAD" w:rsidRDefault="000A5EAD" w:rsidP="00D8685A">
      <w:pPr>
        <w:shd w:val="clear" w:color="auto" w:fill="FFFFFF"/>
        <w:spacing w:line="240" w:lineRule="auto"/>
        <w:rPr>
          <w:rFonts w:eastAsia="Times New Roman" w:cs="Times New Roman"/>
          <w:b/>
          <w:color w:val="222222"/>
        </w:rPr>
      </w:pPr>
      <w:r>
        <w:rPr>
          <w:rFonts w:eastAsia="Times New Roman" w:cs="Times New Roman"/>
          <w:b/>
          <w:color w:val="222222"/>
        </w:rPr>
        <w:t>For the same reasons</w:t>
      </w:r>
      <w:r w:rsidR="00F653A6">
        <w:rPr>
          <w:rFonts w:eastAsia="Times New Roman" w:cs="Times New Roman"/>
          <w:b/>
          <w:color w:val="222222"/>
        </w:rPr>
        <w:t>,</w:t>
      </w:r>
      <w:r>
        <w:rPr>
          <w:rFonts w:eastAsia="Times New Roman" w:cs="Times New Roman"/>
          <w:b/>
          <w:color w:val="222222"/>
        </w:rPr>
        <w:t xml:space="preserve"> AIQ does not support the CCA-proposed resolution in favor of the </w:t>
      </w:r>
      <w:r w:rsidR="00F653A6">
        <w:rPr>
          <w:rFonts w:eastAsia="Times New Roman" w:cs="Times New Roman"/>
          <w:b/>
          <w:color w:val="222222"/>
        </w:rPr>
        <w:t>2015 Task Force on Accreditation.</w:t>
      </w:r>
    </w:p>
    <w:p w:rsidR="000A5EAD" w:rsidRDefault="000A5EAD" w:rsidP="00D8685A">
      <w:pPr>
        <w:shd w:val="clear" w:color="auto" w:fill="FFFFFF"/>
        <w:spacing w:line="240" w:lineRule="auto"/>
        <w:rPr>
          <w:rFonts w:eastAsia="Times New Roman" w:cs="Times New Roman"/>
          <w:b/>
          <w:color w:val="222222"/>
        </w:rPr>
      </w:pPr>
    </w:p>
    <w:p w:rsidR="00713515" w:rsidRDefault="00713515" w:rsidP="00D8685A">
      <w:pPr>
        <w:shd w:val="clear" w:color="auto" w:fill="FFFFFF"/>
        <w:spacing w:line="240" w:lineRule="auto"/>
        <w:rPr>
          <w:rFonts w:eastAsia="Times New Roman" w:cs="Times New Roman"/>
          <w:color w:val="222222"/>
        </w:rPr>
      </w:pPr>
    </w:p>
    <w:p w:rsidR="00713515" w:rsidRDefault="00713515" w:rsidP="00D8685A">
      <w:pPr>
        <w:shd w:val="clear" w:color="auto" w:fill="FFFFFF"/>
        <w:spacing w:line="240" w:lineRule="auto"/>
        <w:rPr>
          <w:rFonts w:eastAsia="Times New Roman" w:cs="Times New Roman"/>
          <w:color w:val="222222"/>
        </w:rPr>
      </w:pPr>
    </w:p>
    <w:p w:rsidR="000A5EAD" w:rsidRPr="000A5EAD" w:rsidRDefault="000A5EAD" w:rsidP="00D8685A">
      <w:pPr>
        <w:shd w:val="clear" w:color="auto" w:fill="FFFFFF"/>
        <w:spacing w:line="240" w:lineRule="auto"/>
        <w:rPr>
          <w:rFonts w:eastAsia="Times New Roman" w:cs="Times New Roman"/>
          <w:color w:val="222222"/>
        </w:rPr>
      </w:pPr>
      <w:r w:rsidRPr="000A5EAD">
        <w:rPr>
          <w:rFonts w:eastAsia="Times New Roman" w:cs="Times New Roman"/>
          <w:color w:val="222222"/>
        </w:rPr>
        <w:t>Kate Pluta</w:t>
      </w:r>
    </w:p>
    <w:p w:rsidR="000A5EAD" w:rsidRPr="000A5EAD" w:rsidRDefault="000A5EAD" w:rsidP="00D8685A">
      <w:pPr>
        <w:shd w:val="clear" w:color="auto" w:fill="FFFFFF"/>
        <w:spacing w:line="240" w:lineRule="auto"/>
        <w:rPr>
          <w:rFonts w:eastAsia="Times New Roman" w:cs="Times New Roman"/>
          <w:color w:val="222222"/>
        </w:rPr>
      </w:pPr>
      <w:r w:rsidRPr="000A5EAD">
        <w:rPr>
          <w:rFonts w:eastAsia="Times New Roman" w:cs="Times New Roman"/>
          <w:color w:val="222222"/>
        </w:rPr>
        <w:t>Faculty Chair of AIQ (Accreditation &amp; Institutional Quality</w:t>
      </w:r>
      <w:r>
        <w:rPr>
          <w:rFonts w:eastAsia="Times New Roman" w:cs="Times New Roman"/>
          <w:color w:val="222222"/>
        </w:rPr>
        <w:t xml:space="preserve"> Committee</w:t>
      </w:r>
      <w:r w:rsidRPr="000A5EAD">
        <w:rPr>
          <w:rFonts w:eastAsia="Times New Roman" w:cs="Times New Roman"/>
          <w:color w:val="222222"/>
        </w:rPr>
        <w:t>)</w:t>
      </w:r>
    </w:p>
    <w:p w:rsidR="000A5EAD" w:rsidRPr="000A5EAD" w:rsidRDefault="000A5EAD" w:rsidP="00D8685A">
      <w:pPr>
        <w:shd w:val="clear" w:color="auto" w:fill="FFFFFF"/>
        <w:spacing w:line="240" w:lineRule="auto"/>
        <w:rPr>
          <w:rFonts w:eastAsia="Times New Roman" w:cs="Times New Roman"/>
          <w:color w:val="222222"/>
        </w:rPr>
      </w:pPr>
      <w:r w:rsidRPr="000A5EAD">
        <w:rPr>
          <w:rFonts w:eastAsia="Times New Roman" w:cs="Times New Roman"/>
          <w:color w:val="222222"/>
        </w:rPr>
        <w:t>October 14, 2015</w:t>
      </w:r>
    </w:p>
    <w:p w:rsidR="00D8685A" w:rsidRPr="00663768" w:rsidRDefault="00D8685A" w:rsidP="00E81C0D">
      <w:pPr>
        <w:pStyle w:val="BodyText"/>
        <w:ind w:left="-105"/>
        <w:rPr>
          <w:rFonts w:asciiTheme="minorHAnsi" w:hAnsiTheme="minorHAnsi"/>
        </w:rPr>
      </w:pPr>
    </w:p>
    <w:bookmarkEnd w:id="1"/>
    <w:p w:rsidR="00AB14FA" w:rsidRPr="00663768" w:rsidRDefault="00AB14FA" w:rsidP="00E81C0D">
      <w:pPr>
        <w:pStyle w:val="BodyText"/>
        <w:ind w:left="-105"/>
        <w:rPr>
          <w:rFonts w:asciiTheme="minorHAnsi" w:hAnsiTheme="minorHAnsi"/>
        </w:rPr>
      </w:pPr>
    </w:p>
    <w:sectPr w:rsidR="00AB14FA" w:rsidRPr="00663768" w:rsidSect="00F00AC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4D" w:rsidRDefault="00B9624D" w:rsidP="00CF0638">
      <w:pPr>
        <w:spacing w:line="240" w:lineRule="auto"/>
      </w:pPr>
      <w:r>
        <w:separator/>
      </w:r>
    </w:p>
  </w:endnote>
  <w:endnote w:type="continuationSeparator" w:id="0">
    <w:p w:rsidR="00B9624D" w:rsidRDefault="00B9624D" w:rsidP="00CF0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139066"/>
      <w:docPartObj>
        <w:docPartGallery w:val="Page Numbers (Bottom of Page)"/>
        <w:docPartUnique/>
      </w:docPartObj>
    </w:sdtPr>
    <w:sdtEndPr>
      <w:rPr>
        <w:noProof/>
      </w:rPr>
    </w:sdtEndPr>
    <w:sdtContent>
      <w:p w:rsidR="00B55DA2" w:rsidRDefault="00B55DA2">
        <w:pPr>
          <w:pStyle w:val="Footer"/>
          <w:jc w:val="right"/>
        </w:pPr>
        <w:r>
          <w:fldChar w:fldCharType="begin"/>
        </w:r>
        <w:r>
          <w:instrText xml:space="preserve"> PAGE   \* MERGEFORMAT </w:instrText>
        </w:r>
        <w:r>
          <w:fldChar w:fldCharType="separate"/>
        </w:r>
        <w:r w:rsidR="005C7B94">
          <w:rPr>
            <w:noProof/>
          </w:rPr>
          <w:t>1</w:t>
        </w:r>
        <w:r>
          <w:rPr>
            <w:noProof/>
          </w:rPr>
          <w:fldChar w:fldCharType="end"/>
        </w:r>
      </w:p>
    </w:sdtContent>
  </w:sdt>
  <w:p w:rsidR="00B55DA2" w:rsidRDefault="00B55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4D" w:rsidRDefault="00B9624D" w:rsidP="00CF0638">
      <w:pPr>
        <w:spacing w:line="240" w:lineRule="auto"/>
      </w:pPr>
      <w:r>
        <w:separator/>
      </w:r>
    </w:p>
  </w:footnote>
  <w:footnote w:type="continuationSeparator" w:id="0">
    <w:p w:rsidR="00B9624D" w:rsidRDefault="00B9624D" w:rsidP="00CF0638">
      <w:pPr>
        <w:spacing w:line="240" w:lineRule="auto"/>
      </w:pPr>
      <w:r>
        <w:continuationSeparator/>
      </w:r>
    </w:p>
  </w:footnote>
  <w:footnote w:id="1">
    <w:p w:rsidR="00F45AB4" w:rsidRDefault="00F45AB4" w:rsidP="00F45AB4">
      <w:pPr>
        <w:pStyle w:val="FootnoteText"/>
        <w:spacing w:before="0" w:beforeAutospacing="0" w:after="0" w:afterAutospacing="0"/>
        <w:rPr>
          <w:sz w:val="20"/>
          <w:szCs w:val="20"/>
        </w:rPr>
      </w:pPr>
      <w:r w:rsidRPr="00CF0638">
        <w:rPr>
          <w:rStyle w:val="FootnoteReference"/>
          <w:sz w:val="20"/>
          <w:szCs w:val="20"/>
        </w:rPr>
        <w:footnoteRef/>
      </w:r>
      <w:r w:rsidRPr="00CF0638">
        <w:rPr>
          <w:sz w:val="20"/>
          <w:szCs w:val="20"/>
        </w:rPr>
        <w:t xml:space="preserve"> </w:t>
      </w:r>
      <w:r>
        <w:rPr>
          <w:sz w:val="20"/>
          <w:szCs w:val="20"/>
        </w:rPr>
        <w:t xml:space="preserve">Categories:  </w:t>
      </w:r>
    </w:p>
    <w:p w:rsidR="00F45AB4" w:rsidRDefault="00F45AB4" w:rsidP="00F45AB4">
      <w:pPr>
        <w:pStyle w:val="FootnoteText"/>
        <w:spacing w:before="0" w:beforeAutospacing="0" w:after="0" w:afterAutospacing="0"/>
        <w:rPr>
          <w:sz w:val="20"/>
          <w:szCs w:val="20"/>
        </w:rPr>
      </w:pPr>
      <w:proofErr w:type="spellStart"/>
      <w:r>
        <w:rPr>
          <w:sz w:val="20"/>
          <w:szCs w:val="20"/>
        </w:rPr>
        <w:t>a.</w:t>
      </w:r>
      <w:r w:rsidRPr="00CF0638">
        <w:rPr>
          <w:b/>
          <w:sz w:val="20"/>
          <w:szCs w:val="20"/>
        </w:rPr>
        <w:t>Reaffirm</w:t>
      </w:r>
      <w:proofErr w:type="spellEnd"/>
      <w:r w:rsidRPr="00CF0638">
        <w:rPr>
          <w:b/>
          <w:sz w:val="20"/>
          <w:szCs w:val="20"/>
        </w:rPr>
        <w:t xml:space="preserve"> Accreditation (</w:t>
      </w:r>
      <w:r w:rsidRPr="00CF0638">
        <w:rPr>
          <w:sz w:val="20"/>
          <w:szCs w:val="20"/>
        </w:rPr>
        <w:t xml:space="preserve">No noncompliance issues) </w:t>
      </w:r>
    </w:p>
    <w:p w:rsidR="00F45AB4" w:rsidRDefault="00F45AB4" w:rsidP="00F45AB4">
      <w:pPr>
        <w:pStyle w:val="FootnoteText"/>
        <w:spacing w:before="0" w:beforeAutospacing="0" w:after="0" w:afterAutospacing="0"/>
        <w:rPr>
          <w:sz w:val="20"/>
          <w:szCs w:val="20"/>
        </w:rPr>
      </w:pPr>
      <w:proofErr w:type="gramStart"/>
      <w:r w:rsidRPr="00CF0638">
        <w:rPr>
          <w:sz w:val="20"/>
          <w:szCs w:val="20"/>
        </w:rPr>
        <w:t>b</w:t>
      </w:r>
      <w:proofErr w:type="gramEnd"/>
      <w:r w:rsidRPr="00CF0638">
        <w:rPr>
          <w:sz w:val="20"/>
          <w:szCs w:val="20"/>
        </w:rPr>
        <w:t xml:space="preserve">. </w:t>
      </w:r>
      <w:r w:rsidRPr="00CF0638">
        <w:rPr>
          <w:b/>
          <w:sz w:val="20"/>
          <w:szCs w:val="20"/>
        </w:rPr>
        <w:t>Reaffirm Accreditation for</w:t>
      </w:r>
      <w:r w:rsidRPr="00CF0638">
        <w:rPr>
          <w:sz w:val="20"/>
          <w:szCs w:val="20"/>
        </w:rPr>
        <w:t xml:space="preserve"> ____ (Specify period up to 18 months) </w:t>
      </w:r>
      <w:r w:rsidRPr="00CF0638">
        <w:rPr>
          <w:b/>
          <w:sz w:val="20"/>
          <w:szCs w:val="20"/>
        </w:rPr>
        <w:t xml:space="preserve">with a </w:t>
      </w:r>
      <w:proofErr w:type="spellStart"/>
      <w:r w:rsidRPr="00CF0638">
        <w:rPr>
          <w:b/>
          <w:sz w:val="20"/>
          <w:szCs w:val="20"/>
        </w:rPr>
        <w:t>FollowUp</w:t>
      </w:r>
      <w:proofErr w:type="spellEnd"/>
      <w:r w:rsidRPr="00CF0638">
        <w:rPr>
          <w:b/>
          <w:sz w:val="20"/>
          <w:szCs w:val="20"/>
        </w:rPr>
        <w:t xml:space="preserve"> Report</w:t>
      </w:r>
      <w:r w:rsidRPr="00CF0638">
        <w:rPr>
          <w:b/>
          <w:color w:val="FF0000"/>
          <w:sz w:val="20"/>
          <w:szCs w:val="20"/>
        </w:rPr>
        <w:t>3</w:t>
      </w:r>
      <w:r w:rsidRPr="00CF0638">
        <w:rPr>
          <w:sz w:val="20"/>
          <w:szCs w:val="20"/>
        </w:rPr>
        <w:t xml:space="preserve"> Note: If an evaluation team visit is recommended in addition to the institution’s Follow-Up Report, the reasons should be provided in the team chair’s confidential letter to the Commission. </w:t>
      </w:r>
    </w:p>
    <w:p w:rsidR="00F45AB4" w:rsidRDefault="00F45AB4" w:rsidP="00F45AB4">
      <w:pPr>
        <w:pStyle w:val="FootnoteText"/>
        <w:spacing w:before="0" w:beforeAutospacing="0" w:after="0" w:afterAutospacing="0"/>
        <w:rPr>
          <w:sz w:val="20"/>
          <w:szCs w:val="20"/>
        </w:rPr>
      </w:pPr>
      <w:r w:rsidRPr="00CF0638">
        <w:rPr>
          <w:sz w:val="20"/>
          <w:szCs w:val="20"/>
        </w:rPr>
        <w:t xml:space="preserve">c. </w:t>
      </w:r>
      <w:r w:rsidRPr="00CF0638">
        <w:rPr>
          <w:b/>
          <w:sz w:val="20"/>
          <w:szCs w:val="20"/>
        </w:rPr>
        <w:t>Warning with a Follow-Up Report</w:t>
      </w:r>
      <w:r w:rsidRPr="00CF0638">
        <w:rPr>
          <w:sz w:val="20"/>
          <w:szCs w:val="20"/>
        </w:rPr>
        <w:t xml:space="preserve"> and evaluation team visit in 18 months </w:t>
      </w:r>
    </w:p>
    <w:p w:rsidR="00F45AB4" w:rsidRDefault="00F45AB4" w:rsidP="00F45AB4">
      <w:pPr>
        <w:pStyle w:val="FootnoteText"/>
        <w:spacing w:before="0" w:beforeAutospacing="0" w:after="0" w:afterAutospacing="0"/>
        <w:rPr>
          <w:sz w:val="20"/>
          <w:szCs w:val="20"/>
        </w:rPr>
      </w:pPr>
      <w:r w:rsidRPr="00CF0638">
        <w:rPr>
          <w:sz w:val="20"/>
          <w:szCs w:val="20"/>
        </w:rPr>
        <w:t xml:space="preserve">d. </w:t>
      </w:r>
      <w:r w:rsidRPr="00CF0638">
        <w:rPr>
          <w:b/>
          <w:sz w:val="20"/>
          <w:szCs w:val="20"/>
        </w:rPr>
        <w:t>Probation with a Follow-Up Report</w:t>
      </w:r>
      <w:r w:rsidRPr="00CF0638">
        <w:rPr>
          <w:sz w:val="20"/>
          <w:szCs w:val="20"/>
        </w:rPr>
        <w:t xml:space="preserve"> and evaluation team visit in 18 months </w:t>
      </w:r>
    </w:p>
    <w:p w:rsidR="00F45AB4" w:rsidRDefault="00F45AB4" w:rsidP="00F45AB4">
      <w:pPr>
        <w:pStyle w:val="FootnoteText"/>
        <w:spacing w:before="0" w:beforeAutospacing="0" w:after="0" w:afterAutospacing="0"/>
        <w:rPr>
          <w:sz w:val="20"/>
          <w:szCs w:val="20"/>
        </w:rPr>
      </w:pPr>
      <w:r w:rsidRPr="00CF0638">
        <w:rPr>
          <w:sz w:val="20"/>
          <w:szCs w:val="20"/>
        </w:rPr>
        <w:t xml:space="preserve">e. </w:t>
      </w:r>
      <w:r w:rsidRPr="00CF0638">
        <w:rPr>
          <w:b/>
          <w:sz w:val="20"/>
          <w:szCs w:val="20"/>
        </w:rPr>
        <w:t>Show Cause</w:t>
      </w:r>
      <w:r w:rsidRPr="00CF0638">
        <w:rPr>
          <w:sz w:val="20"/>
          <w:szCs w:val="20"/>
        </w:rPr>
        <w:t xml:space="preserve"> with a Show Cause Report and evaluation team visit in 6 months</w:t>
      </w:r>
    </w:p>
    <w:p w:rsidR="00F45AB4" w:rsidRPr="00CF0638" w:rsidRDefault="00F45AB4" w:rsidP="00F45AB4">
      <w:pPr>
        <w:pStyle w:val="FootnoteText"/>
        <w:rPr>
          <w:sz w:val="20"/>
          <w:szCs w:val="20"/>
        </w:rPr>
      </w:pPr>
      <w:r w:rsidRPr="00CF0638">
        <w:rPr>
          <w:color w:val="FF0000"/>
          <w:sz w:val="20"/>
          <w:szCs w:val="20"/>
        </w:rPr>
        <w:t xml:space="preserve">3 </w:t>
      </w:r>
      <w:r w:rsidRPr="00CF0638">
        <w:rPr>
          <w:sz w:val="20"/>
          <w:szCs w:val="20"/>
        </w:rPr>
        <w:t>If the recommendation is for any action other than “Reaffirmation of Accreditation,” the Team Chair is asked to write a confidential letter to the Commission summarizing reasons for the team recommendation, drawing from the External Evaluation Report. The team chair’s letter will also include explanation if the team wants to recommend a time frame different from what is generally associated with the action.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355E"/>
    <w:multiLevelType w:val="hybridMultilevel"/>
    <w:tmpl w:val="E72C2300"/>
    <w:lvl w:ilvl="0" w:tplc="75B885DC">
      <w:start w:val="1"/>
      <w:numFmt w:val="bullet"/>
      <w:lvlText w:val="•"/>
      <w:lvlJc w:val="left"/>
      <w:pPr>
        <w:ind w:hanging="216"/>
      </w:pPr>
      <w:rPr>
        <w:rFonts w:ascii="Arial" w:eastAsia="Arial" w:hAnsi="Arial" w:hint="default"/>
        <w:color w:val="1F1F1F"/>
        <w:w w:val="156"/>
        <w:sz w:val="22"/>
        <w:szCs w:val="22"/>
      </w:rPr>
    </w:lvl>
    <w:lvl w:ilvl="1" w:tplc="CE24E814">
      <w:start w:val="1"/>
      <w:numFmt w:val="bullet"/>
      <w:lvlText w:val="•"/>
      <w:lvlJc w:val="left"/>
      <w:rPr>
        <w:rFonts w:hint="default"/>
      </w:rPr>
    </w:lvl>
    <w:lvl w:ilvl="2" w:tplc="DFD478DE">
      <w:start w:val="1"/>
      <w:numFmt w:val="bullet"/>
      <w:lvlText w:val="•"/>
      <w:lvlJc w:val="left"/>
      <w:rPr>
        <w:rFonts w:hint="default"/>
      </w:rPr>
    </w:lvl>
    <w:lvl w:ilvl="3" w:tplc="7CD45E72">
      <w:start w:val="1"/>
      <w:numFmt w:val="bullet"/>
      <w:lvlText w:val="•"/>
      <w:lvlJc w:val="left"/>
      <w:rPr>
        <w:rFonts w:hint="default"/>
      </w:rPr>
    </w:lvl>
    <w:lvl w:ilvl="4" w:tplc="D7D8FD10">
      <w:start w:val="1"/>
      <w:numFmt w:val="bullet"/>
      <w:lvlText w:val="•"/>
      <w:lvlJc w:val="left"/>
      <w:rPr>
        <w:rFonts w:hint="default"/>
      </w:rPr>
    </w:lvl>
    <w:lvl w:ilvl="5" w:tplc="0DB09CCA">
      <w:start w:val="1"/>
      <w:numFmt w:val="bullet"/>
      <w:lvlText w:val="•"/>
      <w:lvlJc w:val="left"/>
      <w:rPr>
        <w:rFonts w:hint="default"/>
      </w:rPr>
    </w:lvl>
    <w:lvl w:ilvl="6" w:tplc="569870D8">
      <w:start w:val="1"/>
      <w:numFmt w:val="bullet"/>
      <w:lvlText w:val="•"/>
      <w:lvlJc w:val="left"/>
      <w:rPr>
        <w:rFonts w:hint="default"/>
      </w:rPr>
    </w:lvl>
    <w:lvl w:ilvl="7" w:tplc="6D62C3CE">
      <w:start w:val="1"/>
      <w:numFmt w:val="bullet"/>
      <w:lvlText w:val="•"/>
      <w:lvlJc w:val="left"/>
      <w:rPr>
        <w:rFonts w:hint="default"/>
      </w:rPr>
    </w:lvl>
    <w:lvl w:ilvl="8" w:tplc="3F1469FC">
      <w:start w:val="1"/>
      <w:numFmt w:val="bullet"/>
      <w:lvlText w:val="•"/>
      <w:lvlJc w:val="left"/>
      <w:rPr>
        <w:rFonts w:hint="default"/>
      </w:rPr>
    </w:lvl>
  </w:abstractNum>
  <w:abstractNum w:abstractNumId="1">
    <w:nsid w:val="44110314"/>
    <w:multiLevelType w:val="hybridMultilevel"/>
    <w:tmpl w:val="8D72F17C"/>
    <w:lvl w:ilvl="0" w:tplc="75B885DC">
      <w:start w:val="1"/>
      <w:numFmt w:val="bullet"/>
      <w:lvlText w:val="•"/>
      <w:lvlJc w:val="left"/>
      <w:pPr>
        <w:ind w:hanging="216"/>
      </w:pPr>
      <w:rPr>
        <w:rFonts w:ascii="Arial" w:eastAsia="Arial" w:hAnsi="Arial" w:hint="default"/>
        <w:color w:val="1F1F1F"/>
        <w:w w:val="156"/>
        <w:sz w:val="22"/>
        <w:szCs w:val="22"/>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nsid w:val="486B00DA"/>
    <w:multiLevelType w:val="hybridMultilevel"/>
    <w:tmpl w:val="C386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25E2F"/>
    <w:multiLevelType w:val="hybridMultilevel"/>
    <w:tmpl w:val="9A42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36"/>
    <w:rsid w:val="00071BC9"/>
    <w:rsid w:val="00072841"/>
    <w:rsid w:val="00087F2A"/>
    <w:rsid w:val="00093503"/>
    <w:rsid w:val="000A5EAD"/>
    <w:rsid w:val="000D51CF"/>
    <w:rsid w:val="000D60BA"/>
    <w:rsid w:val="00172E20"/>
    <w:rsid w:val="001B7850"/>
    <w:rsid w:val="0028720B"/>
    <w:rsid w:val="003974B7"/>
    <w:rsid w:val="00397C4E"/>
    <w:rsid w:val="00420B0D"/>
    <w:rsid w:val="00505736"/>
    <w:rsid w:val="00515836"/>
    <w:rsid w:val="00536C10"/>
    <w:rsid w:val="005C7B94"/>
    <w:rsid w:val="005E3390"/>
    <w:rsid w:val="00643FCA"/>
    <w:rsid w:val="00663768"/>
    <w:rsid w:val="006A7458"/>
    <w:rsid w:val="00713515"/>
    <w:rsid w:val="0081512C"/>
    <w:rsid w:val="008871C8"/>
    <w:rsid w:val="00AB14FA"/>
    <w:rsid w:val="00B55DA2"/>
    <w:rsid w:val="00B9624D"/>
    <w:rsid w:val="00CF0638"/>
    <w:rsid w:val="00D8685A"/>
    <w:rsid w:val="00DE7256"/>
    <w:rsid w:val="00E81C0D"/>
    <w:rsid w:val="00E84EA3"/>
    <w:rsid w:val="00EA0A8B"/>
    <w:rsid w:val="00ED3950"/>
    <w:rsid w:val="00F00ACA"/>
    <w:rsid w:val="00F3265D"/>
    <w:rsid w:val="00F45AB4"/>
    <w:rsid w:val="00F653A6"/>
    <w:rsid w:val="00FC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736"/>
    <w:pPr>
      <w:ind w:left="720"/>
      <w:contextualSpacing/>
    </w:pPr>
  </w:style>
  <w:style w:type="character" w:styleId="Hyperlink">
    <w:name w:val="Hyperlink"/>
    <w:basedOn w:val="DefaultParagraphFont"/>
    <w:uiPriority w:val="99"/>
    <w:unhideWhenUsed/>
    <w:rsid w:val="0028720B"/>
    <w:rPr>
      <w:color w:val="0000FF"/>
      <w:u w:val="single"/>
    </w:rPr>
  </w:style>
  <w:style w:type="paragraph" w:styleId="FootnoteText">
    <w:name w:val="footnote text"/>
    <w:basedOn w:val="Normal"/>
    <w:link w:val="FootnoteTextChar"/>
    <w:uiPriority w:val="99"/>
    <w:semiHidden/>
    <w:unhideWhenUsed/>
    <w:rsid w:val="0028720B"/>
    <w:pPr>
      <w:spacing w:before="100" w:beforeAutospacing="1" w:after="100" w:afterAutospacing="1"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720B"/>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CF0638"/>
    <w:rPr>
      <w:vertAlign w:val="superscript"/>
    </w:rPr>
  </w:style>
  <w:style w:type="paragraph" w:styleId="BodyText">
    <w:name w:val="Body Text"/>
    <w:basedOn w:val="Normal"/>
    <w:link w:val="BodyTextChar"/>
    <w:uiPriority w:val="1"/>
    <w:qFormat/>
    <w:rsid w:val="0081512C"/>
    <w:pPr>
      <w:widowControl w:val="0"/>
      <w:spacing w:line="240" w:lineRule="auto"/>
      <w:ind w:left="111"/>
    </w:pPr>
    <w:rPr>
      <w:rFonts w:ascii="Arial" w:eastAsia="Arial" w:hAnsi="Arial"/>
    </w:rPr>
  </w:style>
  <w:style w:type="character" w:customStyle="1" w:styleId="BodyTextChar">
    <w:name w:val="Body Text Char"/>
    <w:basedOn w:val="DefaultParagraphFont"/>
    <w:link w:val="BodyText"/>
    <w:uiPriority w:val="1"/>
    <w:rsid w:val="0081512C"/>
    <w:rPr>
      <w:rFonts w:ascii="Arial" w:eastAsia="Arial" w:hAnsi="Arial"/>
    </w:rPr>
  </w:style>
  <w:style w:type="paragraph" w:styleId="Header">
    <w:name w:val="header"/>
    <w:basedOn w:val="Normal"/>
    <w:link w:val="HeaderChar"/>
    <w:uiPriority w:val="99"/>
    <w:unhideWhenUsed/>
    <w:rsid w:val="00B55DA2"/>
    <w:pPr>
      <w:tabs>
        <w:tab w:val="center" w:pos="4680"/>
        <w:tab w:val="right" w:pos="9360"/>
      </w:tabs>
      <w:spacing w:line="240" w:lineRule="auto"/>
    </w:pPr>
  </w:style>
  <w:style w:type="character" w:customStyle="1" w:styleId="HeaderChar">
    <w:name w:val="Header Char"/>
    <w:basedOn w:val="DefaultParagraphFont"/>
    <w:link w:val="Header"/>
    <w:uiPriority w:val="99"/>
    <w:rsid w:val="00B55DA2"/>
  </w:style>
  <w:style w:type="paragraph" w:styleId="Footer">
    <w:name w:val="footer"/>
    <w:basedOn w:val="Normal"/>
    <w:link w:val="FooterChar"/>
    <w:uiPriority w:val="99"/>
    <w:unhideWhenUsed/>
    <w:rsid w:val="00B55DA2"/>
    <w:pPr>
      <w:tabs>
        <w:tab w:val="center" w:pos="4680"/>
        <w:tab w:val="right" w:pos="9360"/>
      </w:tabs>
      <w:spacing w:line="240" w:lineRule="auto"/>
    </w:pPr>
  </w:style>
  <w:style w:type="character" w:customStyle="1" w:styleId="FooterChar">
    <w:name w:val="Footer Char"/>
    <w:basedOn w:val="DefaultParagraphFont"/>
    <w:link w:val="Footer"/>
    <w:uiPriority w:val="99"/>
    <w:rsid w:val="00B55DA2"/>
  </w:style>
  <w:style w:type="paragraph" w:styleId="HTMLPreformatted">
    <w:name w:val="HTML Preformatted"/>
    <w:basedOn w:val="Normal"/>
    <w:link w:val="HTMLPreformattedChar"/>
    <w:uiPriority w:val="99"/>
    <w:unhideWhenUsed/>
    <w:rsid w:val="0008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7F2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C7A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736"/>
    <w:pPr>
      <w:ind w:left="720"/>
      <w:contextualSpacing/>
    </w:pPr>
  </w:style>
  <w:style w:type="character" w:styleId="Hyperlink">
    <w:name w:val="Hyperlink"/>
    <w:basedOn w:val="DefaultParagraphFont"/>
    <w:uiPriority w:val="99"/>
    <w:unhideWhenUsed/>
    <w:rsid w:val="0028720B"/>
    <w:rPr>
      <w:color w:val="0000FF"/>
      <w:u w:val="single"/>
    </w:rPr>
  </w:style>
  <w:style w:type="paragraph" w:styleId="FootnoteText">
    <w:name w:val="footnote text"/>
    <w:basedOn w:val="Normal"/>
    <w:link w:val="FootnoteTextChar"/>
    <w:uiPriority w:val="99"/>
    <w:semiHidden/>
    <w:unhideWhenUsed/>
    <w:rsid w:val="0028720B"/>
    <w:pPr>
      <w:spacing w:before="100" w:beforeAutospacing="1" w:after="100" w:afterAutospacing="1"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720B"/>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CF0638"/>
    <w:rPr>
      <w:vertAlign w:val="superscript"/>
    </w:rPr>
  </w:style>
  <w:style w:type="paragraph" w:styleId="BodyText">
    <w:name w:val="Body Text"/>
    <w:basedOn w:val="Normal"/>
    <w:link w:val="BodyTextChar"/>
    <w:uiPriority w:val="1"/>
    <w:qFormat/>
    <w:rsid w:val="0081512C"/>
    <w:pPr>
      <w:widowControl w:val="0"/>
      <w:spacing w:line="240" w:lineRule="auto"/>
      <w:ind w:left="111"/>
    </w:pPr>
    <w:rPr>
      <w:rFonts w:ascii="Arial" w:eastAsia="Arial" w:hAnsi="Arial"/>
    </w:rPr>
  </w:style>
  <w:style w:type="character" w:customStyle="1" w:styleId="BodyTextChar">
    <w:name w:val="Body Text Char"/>
    <w:basedOn w:val="DefaultParagraphFont"/>
    <w:link w:val="BodyText"/>
    <w:uiPriority w:val="1"/>
    <w:rsid w:val="0081512C"/>
    <w:rPr>
      <w:rFonts w:ascii="Arial" w:eastAsia="Arial" w:hAnsi="Arial"/>
    </w:rPr>
  </w:style>
  <w:style w:type="paragraph" w:styleId="Header">
    <w:name w:val="header"/>
    <w:basedOn w:val="Normal"/>
    <w:link w:val="HeaderChar"/>
    <w:uiPriority w:val="99"/>
    <w:unhideWhenUsed/>
    <w:rsid w:val="00B55DA2"/>
    <w:pPr>
      <w:tabs>
        <w:tab w:val="center" w:pos="4680"/>
        <w:tab w:val="right" w:pos="9360"/>
      </w:tabs>
      <w:spacing w:line="240" w:lineRule="auto"/>
    </w:pPr>
  </w:style>
  <w:style w:type="character" w:customStyle="1" w:styleId="HeaderChar">
    <w:name w:val="Header Char"/>
    <w:basedOn w:val="DefaultParagraphFont"/>
    <w:link w:val="Header"/>
    <w:uiPriority w:val="99"/>
    <w:rsid w:val="00B55DA2"/>
  </w:style>
  <w:style w:type="paragraph" w:styleId="Footer">
    <w:name w:val="footer"/>
    <w:basedOn w:val="Normal"/>
    <w:link w:val="FooterChar"/>
    <w:uiPriority w:val="99"/>
    <w:unhideWhenUsed/>
    <w:rsid w:val="00B55DA2"/>
    <w:pPr>
      <w:tabs>
        <w:tab w:val="center" w:pos="4680"/>
        <w:tab w:val="right" w:pos="9360"/>
      </w:tabs>
      <w:spacing w:line="240" w:lineRule="auto"/>
    </w:pPr>
  </w:style>
  <w:style w:type="character" w:customStyle="1" w:styleId="FooterChar">
    <w:name w:val="Footer Char"/>
    <w:basedOn w:val="DefaultParagraphFont"/>
    <w:link w:val="Footer"/>
    <w:uiPriority w:val="99"/>
    <w:rsid w:val="00B55DA2"/>
  </w:style>
  <w:style w:type="paragraph" w:styleId="HTMLPreformatted">
    <w:name w:val="HTML Preformatted"/>
    <w:basedOn w:val="Normal"/>
    <w:link w:val="HTMLPreformattedChar"/>
    <w:uiPriority w:val="99"/>
    <w:unhideWhenUsed/>
    <w:rsid w:val="0008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7F2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C7A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10171">
      <w:bodyDiv w:val="1"/>
      <w:marLeft w:val="0"/>
      <w:marRight w:val="0"/>
      <w:marTop w:val="0"/>
      <w:marBottom w:val="0"/>
      <w:divBdr>
        <w:top w:val="none" w:sz="0" w:space="0" w:color="auto"/>
        <w:left w:val="none" w:sz="0" w:space="0" w:color="auto"/>
        <w:bottom w:val="none" w:sz="0" w:space="0" w:color="auto"/>
        <w:right w:val="none" w:sz="0" w:space="0" w:color="auto"/>
      </w:divBdr>
    </w:div>
    <w:div w:id="176267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ommittees.kccd.edu/bc/committee/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1B01-88FB-4328-8BF9-887FF173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imguser</dc:creator>
  <cp:lastModifiedBy>imguser</cp:lastModifiedBy>
  <cp:revision>6</cp:revision>
  <cp:lastPrinted>2015-10-14T21:41:00Z</cp:lastPrinted>
  <dcterms:created xsi:type="dcterms:W3CDTF">2015-10-14T21:33:00Z</dcterms:created>
  <dcterms:modified xsi:type="dcterms:W3CDTF">2015-10-14T22:00:00Z</dcterms:modified>
</cp:coreProperties>
</file>