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E16" w:rsidRPr="00273EBD" w:rsidRDefault="00C96E16" w:rsidP="00273EBD">
      <w:pPr>
        <w:spacing w:line="240" w:lineRule="auto"/>
        <w:jc w:val="center"/>
        <w:rPr>
          <w:rFonts w:asciiTheme="minorHAnsi" w:hAnsiTheme="minorHAnsi" w:cs="Helvetica"/>
          <w:b/>
        </w:rPr>
      </w:pPr>
      <w:bookmarkStart w:id="0" w:name="_GoBack"/>
      <w:bookmarkEnd w:id="0"/>
      <w:r w:rsidRPr="00273EBD">
        <w:rPr>
          <w:rFonts w:asciiTheme="minorHAnsi" w:hAnsiTheme="minorHAnsi" w:cs="Helvetica"/>
          <w:b/>
        </w:rPr>
        <w:t>Accreditation &amp; Institutional Quality Committee (AIQ)</w:t>
      </w:r>
    </w:p>
    <w:p w:rsidR="00C96E16" w:rsidRPr="00273EBD" w:rsidRDefault="00C96E16" w:rsidP="00273EBD">
      <w:pPr>
        <w:spacing w:line="240" w:lineRule="auto"/>
        <w:jc w:val="center"/>
        <w:rPr>
          <w:rFonts w:asciiTheme="minorHAnsi" w:hAnsiTheme="minorHAnsi" w:cs="Helvetica"/>
          <w:b/>
        </w:rPr>
      </w:pPr>
      <w:r w:rsidRPr="00273EBD">
        <w:rPr>
          <w:rFonts w:asciiTheme="minorHAnsi" w:hAnsiTheme="minorHAnsi" w:cs="Helvetica"/>
          <w:b/>
        </w:rPr>
        <w:t>Tuesday, May 5, 2015</w:t>
      </w:r>
    </w:p>
    <w:p w:rsidR="00C96E16" w:rsidRPr="00273EBD" w:rsidRDefault="00C96E16" w:rsidP="00273EBD">
      <w:pPr>
        <w:spacing w:line="240" w:lineRule="auto"/>
        <w:jc w:val="center"/>
        <w:rPr>
          <w:rFonts w:asciiTheme="minorHAnsi" w:hAnsiTheme="minorHAnsi" w:cs="Helvetica"/>
          <w:b/>
        </w:rPr>
      </w:pPr>
      <w:smartTag w:uri="urn:schemas-microsoft-com:office:smarttags" w:element="time">
        <w:smartTagPr>
          <w:attr w:name="Hour" w:val="15"/>
          <w:attr w:name="Minute" w:val="30"/>
        </w:smartTagPr>
        <w:r w:rsidRPr="00273EBD">
          <w:rPr>
            <w:rFonts w:asciiTheme="minorHAnsi" w:hAnsiTheme="minorHAnsi" w:cs="Helvetica"/>
            <w:b/>
          </w:rPr>
          <w:t>3:30 p.m. – 5:00 p.m.</w:t>
        </w:r>
      </w:smartTag>
      <w:r w:rsidRPr="00273EBD">
        <w:rPr>
          <w:rFonts w:asciiTheme="minorHAnsi" w:hAnsiTheme="minorHAnsi" w:cs="Helvetica"/>
          <w:b/>
        </w:rPr>
        <w:t xml:space="preserve"> in Levinson 40</w:t>
      </w:r>
    </w:p>
    <w:p w:rsidR="00C96E16" w:rsidRPr="00273EBD" w:rsidRDefault="00C96E16" w:rsidP="00273EBD">
      <w:pPr>
        <w:spacing w:line="240" w:lineRule="auto"/>
        <w:jc w:val="center"/>
        <w:rPr>
          <w:rFonts w:asciiTheme="minorHAnsi" w:hAnsiTheme="minorHAnsi" w:cs="Helvetica"/>
          <w:b/>
          <w:i/>
          <w:color w:val="C00000"/>
        </w:rPr>
      </w:pPr>
      <w:r w:rsidRPr="00273EBD">
        <w:rPr>
          <w:rFonts w:asciiTheme="minorHAnsi" w:hAnsiTheme="minorHAnsi" w:cs="Helvetica"/>
          <w:b/>
          <w:i/>
          <w:color w:val="C00000"/>
        </w:rPr>
        <w:t>Draft Agenda</w:t>
      </w:r>
    </w:p>
    <w:p w:rsidR="00C96E16" w:rsidRPr="00273EBD" w:rsidRDefault="00C96E16" w:rsidP="00273EBD">
      <w:pPr>
        <w:spacing w:line="240" w:lineRule="auto"/>
        <w:jc w:val="center"/>
        <w:rPr>
          <w:rFonts w:asciiTheme="minorHAnsi" w:hAnsiTheme="minorHAnsi" w:cs="Helvetica"/>
          <w:b/>
          <w:i/>
        </w:rPr>
      </w:pPr>
    </w:p>
    <w:p w:rsidR="00C96E16" w:rsidRPr="00273EBD" w:rsidRDefault="00C96E16" w:rsidP="00273EBD">
      <w:pPr>
        <w:pStyle w:val="ListParagraph"/>
        <w:numPr>
          <w:ilvl w:val="0"/>
          <w:numId w:val="1"/>
        </w:numPr>
        <w:spacing w:line="240" w:lineRule="auto"/>
        <w:rPr>
          <w:rFonts w:asciiTheme="minorHAnsi" w:hAnsiTheme="minorHAnsi" w:cs="Helvetica"/>
        </w:rPr>
      </w:pPr>
      <w:r w:rsidRPr="00273EBD">
        <w:rPr>
          <w:rFonts w:asciiTheme="minorHAnsi" w:hAnsiTheme="minorHAnsi" w:cs="Helvetica"/>
          <w:b/>
        </w:rPr>
        <w:t>Review and approve minutes—</w:t>
      </w:r>
      <w:r w:rsidRPr="00273EBD">
        <w:rPr>
          <w:rFonts w:asciiTheme="minorHAnsi" w:hAnsiTheme="minorHAnsi" w:cs="Helvetica"/>
        </w:rPr>
        <w:t>April 21 (Rachel Vickrey)</w:t>
      </w:r>
    </w:p>
    <w:p w:rsidR="00C96E16" w:rsidRPr="00273EBD" w:rsidRDefault="00C96E16" w:rsidP="00273EBD">
      <w:pPr>
        <w:spacing w:line="240" w:lineRule="auto"/>
        <w:ind w:firstLine="360"/>
        <w:rPr>
          <w:rFonts w:asciiTheme="minorHAnsi" w:hAnsiTheme="minorHAnsi" w:cs="Helvetica"/>
        </w:rPr>
      </w:pPr>
      <w:r w:rsidRPr="00273EBD">
        <w:rPr>
          <w:rFonts w:asciiTheme="minorHAnsi" w:hAnsiTheme="minorHAnsi" w:cs="Helvetica"/>
        </w:rPr>
        <w:t xml:space="preserve">Today’s note taker:  </w:t>
      </w:r>
      <w:r w:rsidRPr="00273EBD">
        <w:rPr>
          <w:rFonts w:asciiTheme="minorHAnsi" w:hAnsiTheme="minorHAnsi" w:cs="Helvetica"/>
        </w:rPr>
        <w:tab/>
      </w:r>
      <w:r w:rsidRPr="00273EBD">
        <w:rPr>
          <w:rFonts w:asciiTheme="minorHAnsi" w:hAnsiTheme="minorHAnsi" w:cs="Helvetica"/>
        </w:rPr>
        <w:tab/>
      </w:r>
      <w:r w:rsidRPr="00273EBD">
        <w:rPr>
          <w:rFonts w:asciiTheme="minorHAnsi" w:hAnsiTheme="minorHAnsi" w:cs="Helvetica"/>
        </w:rPr>
        <w:tab/>
        <w:t xml:space="preserve">Refreshments:  </w:t>
      </w:r>
    </w:p>
    <w:p w:rsidR="00C96E16" w:rsidRPr="00273EBD" w:rsidRDefault="00C96E16" w:rsidP="00273EBD">
      <w:pPr>
        <w:spacing w:line="240" w:lineRule="auto"/>
        <w:ind w:firstLine="360"/>
        <w:rPr>
          <w:rFonts w:asciiTheme="minorHAnsi" w:hAnsiTheme="minorHAnsi" w:cs="Helvetica"/>
        </w:rPr>
      </w:pPr>
    </w:p>
    <w:p w:rsidR="00273EBD" w:rsidRPr="00273EBD" w:rsidRDefault="00514192" w:rsidP="00273EBD">
      <w:pPr>
        <w:pStyle w:val="ListParagraph"/>
        <w:numPr>
          <w:ilvl w:val="0"/>
          <w:numId w:val="1"/>
        </w:numPr>
        <w:spacing w:line="240" w:lineRule="auto"/>
        <w:rPr>
          <w:rFonts w:asciiTheme="minorHAnsi" w:hAnsiTheme="minorHAnsi" w:cs="Helvetica"/>
          <w:b/>
        </w:rPr>
      </w:pPr>
      <w:r w:rsidRPr="00273EBD">
        <w:rPr>
          <w:rFonts w:asciiTheme="minorHAnsi" w:hAnsiTheme="minorHAnsi" w:cs="Helvetica"/>
          <w:b/>
        </w:rPr>
        <w:t>Update</w:t>
      </w:r>
      <w:r w:rsidR="00273EBD" w:rsidRPr="00273EBD">
        <w:rPr>
          <w:rFonts w:asciiTheme="minorHAnsi" w:hAnsiTheme="minorHAnsi" w:cs="Helvetica"/>
          <w:b/>
        </w:rPr>
        <w:t>s</w:t>
      </w:r>
      <w:r w:rsidRPr="00273EBD">
        <w:rPr>
          <w:rFonts w:asciiTheme="minorHAnsi" w:hAnsiTheme="minorHAnsi" w:cs="Helvetica"/>
          <w:b/>
        </w:rPr>
        <w:t xml:space="preserve"> </w:t>
      </w:r>
    </w:p>
    <w:p w:rsidR="00273EBD" w:rsidRPr="00273EBD" w:rsidRDefault="00514192" w:rsidP="00273EBD">
      <w:pPr>
        <w:pStyle w:val="ListParagraph"/>
        <w:numPr>
          <w:ilvl w:val="1"/>
          <w:numId w:val="1"/>
        </w:numPr>
        <w:spacing w:line="240" w:lineRule="auto"/>
        <w:rPr>
          <w:rFonts w:asciiTheme="minorHAnsi" w:hAnsiTheme="minorHAnsi" w:cs="Helvetica"/>
        </w:rPr>
      </w:pPr>
      <w:r w:rsidRPr="00273EBD">
        <w:rPr>
          <w:rFonts w:asciiTheme="minorHAnsi" w:hAnsiTheme="minorHAnsi" w:cs="Helvetica"/>
        </w:rPr>
        <w:t>Accreditation Survey</w:t>
      </w:r>
    </w:p>
    <w:p w:rsidR="00273EBD" w:rsidRPr="00273EBD" w:rsidRDefault="00C96E16" w:rsidP="00273EBD">
      <w:pPr>
        <w:pStyle w:val="ListParagraph"/>
        <w:numPr>
          <w:ilvl w:val="1"/>
          <w:numId w:val="1"/>
        </w:numPr>
        <w:spacing w:line="240" w:lineRule="auto"/>
        <w:rPr>
          <w:rFonts w:asciiTheme="minorHAnsi" w:hAnsiTheme="minorHAnsi" w:cs="Helvetica"/>
        </w:rPr>
      </w:pPr>
      <w:r w:rsidRPr="00273EBD">
        <w:rPr>
          <w:rFonts w:asciiTheme="minorHAnsi" w:hAnsiTheme="minorHAnsi" w:cs="Helvetica"/>
        </w:rPr>
        <w:t>Midterm Report</w:t>
      </w:r>
    </w:p>
    <w:p w:rsidR="00C96E16" w:rsidRDefault="00C96E16" w:rsidP="00273EBD">
      <w:pPr>
        <w:pStyle w:val="ListParagraph"/>
        <w:numPr>
          <w:ilvl w:val="1"/>
          <w:numId w:val="1"/>
        </w:numPr>
        <w:spacing w:line="240" w:lineRule="auto"/>
        <w:rPr>
          <w:rFonts w:asciiTheme="minorHAnsi" w:hAnsiTheme="minorHAnsi" w:cs="Helvetica"/>
        </w:rPr>
      </w:pPr>
      <w:r w:rsidRPr="00273EBD">
        <w:rPr>
          <w:rFonts w:asciiTheme="minorHAnsi" w:hAnsiTheme="minorHAnsi" w:cs="Helvetica"/>
        </w:rPr>
        <w:t>District Response to District Recommendations 1-4</w:t>
      </w:r>
    </w:p>
    <w:p w:rsidR="00200E5F" w:rsidRDefault="00200E5F" w:rsidP="00273EBD">
      <w:pPr>
        <w:pStyle w:val="ListParagraph"/>
        <w:numPr>
          <w:ilvl w:val="1"/>
          <w:numId w:val="1"/>
        </w:numPr>
        <w:spacing w:line="240" w:lineRule="auto"/>
        <w:rPr>
          <w:rFonts w:asciiTheme="minorHAnsi" w:hAnsiTheme="minorHAnsi" w:cs="Helvetica"/>
        </w:rPr>
      </w:pPr>
      <w:r>
        <w:rPr>
          <w:rFonts w:asciiTheme="minorHAnsi" w:hAnsiTheme="minorHAnsi" w:cs="Helvetica"/>
        </w:rPr>
        <w:t>Strategic Directions</w:t>
      </w:r>
    </w:p>
    <w:p w:rsidR="00200E5F" w:rsidRDefault="00200E5F" w:rsidP="00200E5F">
      <w:pPr>
        <w:pStyle w:val="ListParagraph"/>
        <w:spacing w:line="240" w:lineRule="auto"/>
        <w:ind w:left="1080"/>
        <w:rPr>
          <w:rFonts w:asciiTheme="minorHAnsi" w:hAnsiTheme="minorHAnsi" w:cs="Helvetica"/>
        </w:rPr>
      </w:pPr>
    </w:p>
    <w:p w:rsidR="00200E5F" w:rsidRPr="00200E5F" w:rsidRDefault="00200E5F" w:rsidP="00200E5F">
      <w:pPr>
        <w:pStyle w:val="ListParagraph"/>
        <w:numPr>
          <w:ilvl w:val="0"/>
          <w:numId w:val="1"/>
        </w:numPr>
        <w:spacing w:line="240" w:lineRule="auto"/>
        <w:rPr>
          <w:rFonts w:asciiTheme="minorHAnsi" w:hAnsiTheme="minorHAnsi" w:cs="Helvetica"/>
          <w:b/>
        </w:rPr>
      </w:pPr>
      <w:r w:rsidRPr="00200E5F">
        <w:rPr>
          <w:rFonts w:asciiTheme="minorHAnsi" w:hAnsiTheme="minorHAnsi" w:cs="Helvetica"/>
          <w:b/>
        </w:rPr>
        <w:t>Institutional Effectiveness Partnership Initiative (IEPI)</w:t>
      </w:r>
    </w:p>
    <w:p w:rsidR="00000000" w:rsidRPr="00200E5F" w:rsidRDefault="00F341AC" w:rsidP="00200E5F">
      <w:pPr>
        <w:pStyle w:val="ListParagraph"/>
        <w:numPr>
          <w:ilvl w:val="1"/>
          <w:numId w:val="1"/>
        </w:numPr>
        <w:spacing w:line="240" w:lineRule="auto"/>
        <w:rPr>
          <w:rFonts w:asciiTheme="minorHAnsi" w:hAnsiTheme="minorHAnsi" w:cs="Helvetica"/>
        </w:rPr>
      </w:pPr>
      <w:r w:rsidRPr="00200E5F">
        <w:rPr>
          <w:rFonts w:asciiTheme="minorHAnsi" w:hAnsiTheme="minorHAnsi" w:cs="Helvetica"/>
        </w:rPr>
        <w:t>Designed to Advance Community Colleges’ Institutional Effectiveness by Drawing on Expertise within the System</w:t>
      </w:r>
    </w:p>
    <w:p w:rsidR="00000000" w:rsidRPr="00200E5F" w:rsidRDefault="00F341AC" w:rsidP="00200E5F">
      <w:pPr>
        <w:pStyle w:val="ListParagraph"/>
        <w:numPr>
          <w:ilvl w:val="1"/>
          <w:numId w:val="1"/>
        </w:numPr>
        <w:spacing w:line="240" w:lineRule="auto"/>
        <w:rPr>
          <w:rFonts w:asciiTheme="minorHAnsi" w:hAnsiTheme="minorHAnsi" w:cs="Helvetica"/>
        </w:rPr>
      </w:pPr>
      <w:r w:rsidRPr="00200E5F">
        <w:rPr>
          <w:rFonts w:asciiTheme="minorHAnsi" w:hAnsiTheme="minorHAnsi" w:cs="Helvetica"/>
        </w:rPr>
        <w:t>Funded by California Community Colleges Chancellor’s Office</w:t>
      </w:r>
    </w:p>
    <w:p w:rsidR="00000000" w:rsidRPr="00200E5F" w:rsidRDefault="00F341AC" w:rsidP="00200E5F">
      <w:pPr>
        <w:pStyle w:val="ListParagraph"/>
        <w:numPr>
          <w:ilvl w:val="1"/>
          <w:numId w:val="1"/>
        </w:numPr>
        <w:spacing w:line="240" w:lineRule="auto"/>
        <w:rPr>
          <w:rFonts w:asciiTheme="minorHAnsi" w:hAnsiTheme="minorHAnsi" w:cs="Helvetica"/>
        </w:rPr>
      </w:pPr>
      <w:r w:rsidRPr="00200E5F">
        <w:rPr>
          <w:rFonts w:asciiTheme="minorHAnsi" w:hAnsiTheme="minorHAnsi" w:cs="Helvetica"/>
        </w:rPr>
        <w:t xml:space="preserve">A Five-Year Grant (Ongoing): December 2014 to June 30, 2019 </w:t>
      </w:r>
    </w:p>
    <w:p w:rsidR="00000000" w:rsidRPr="00200E5F" w:rsidRDefault="00F341AC" w:rsidP="00200E5F">
      <w:pPr>
        <w:pStyle w:val="ListParagraph"/>
        <w:numPr>
          <w:ilvl w:val="1"/>
          <w:numId w:val="1"/>
        </w:numPr>
        <w:spacing w:line="240" w:lineRule="auto"/>
        <w:rPr>
          <w:rFonts w:asciiTheme="minorHAnsi" w:hAnsiTheme="minorHAnsi" w:cs="Helvetica"/>
        </w:rPr>
      </w:pPr>
      <w:r w:rsidRPr="00200E5F">
        <w:rPr>
          <w:rFonts w:asciiTheme="minorHAnsi" w:hAnsiTheme="minorHAnsi" w:cs="Helvetica"/>
        </w:rPr>
        <w:t xml:space="preserve">$2.5 million per year </w:t>
      </w:r>
    </w:p>
    <w:p w:rsidR="00200E5F" w:rsidRDefault="00200E5F" w:rsidP="00200E5F">
      <w:pPr>
        <w:pStyle w:val="ListParagraph"/>
        <w:spacing w:line="240" w:lineRule="auto"/>
        <w:ind w:left="360"/>
        <w:rPr>
          <w:rFonts w:asciiTheme="minorHAnsi" w:hAnsiTheme="minorHAnsi" w:cs="Helvetica"/>
        </w:rPr>
      </w:pPr>
    </w:p>
    <w:p w:rsidR="00273EBD" w:rsidRPr="00273EBD" w:rsidRDefault="00273EBD" w:rsidP="00273EBD">
      <w:pPr>
        <w:numPr>
          <w:ilvl w:val="0"/>
          <w:numId w:val="1"/>
        </w:numPr>
        <w:spacing w:line="240" w:lineRule="auto"/>
        <w:rPr>
          <w:rFonts w:asciiTheme="minorHAnsi" w:hAnsiTheme="minorHAnsi" w:cs="Helvetica"/>
        </w:rPr>
      </w:pPr>
      <w:r>
        <w:rPr>
          <w:rFonts w:asciiTheme="minorHAnsi" w:hAnsiTheme="minorHAnsi" w:cs="Helvetica"/>
          <w:b/>
        </w:rPr>
        <w:t>2015-16 Refreshments sign</w:t>
      </w:r>
      <w:r w:rsidR="00587EEF">
        <w:rPr>
          <w:rFonts w:asciiTheme="minorHAnsi" w:hAnsiTheme="minorHAnsi" w:cs="Helvetica"/>
          <w:b/>
        </w:rPr>
        <w:t>-</w:t>
      </w:r>
      <w:r>
        <w:rPr>
          <w:rFonts w:asciiTheme="minorHAnsi" w:hAnsiTheme="minorHAnsi" w:cs="Helvetica"/>
          <w:b/>
        </w:rPr>
        <w:t>up sheet</w:t>
      </w:r>
      <w:r w:rsidRPr="00273EBD">
        <w:rPr>
          <w:rFonts w:asciiTheme="minorHAnsi" w:hAnsiTheme="minorHAnsi" w:cs="Helvetica"/>
        </w:rPr>
        <w:t xml:space="preserve">—see </w:t>
      </w:r>
      <w:r w:rsidR="00587EEF">
        <w:rPr>
          <w:rFonts w:asciiTheme="minorHAnsi" w:hAnsiTheme="minorHAnsi" w:cs="Helvetica"/>
        </w:rPr>
        <w:t>page two</w:t>
      </w:r>
      <w:r w:rsidRPr="00273EBD">
        <w:rPr>
          <w:rFonts w:asciiTheme="minorHAnsi" w:hAnsiTheme="minorHAnsi" w:cs="Helvetica"/>
        </w:rPr>
        <w:t xml:space="preserve"> of agenda</w:t>
      </w:r>
    </w:p>
    <w:p w:rsidR="00273EBD" w:rsidRPr="00273EBD" w:rsidRDefault="00273EBD" w:rsidP="00273EBD">
      <w:pPr>
        <w:spacing w:line="240" w:lineRule="auto"/>
        <w:ind w:left="360"/>
        <w:rPr>
          <w:rFonts w:asciiTheme="minorHAnsi" w:hAnsiTheme="minorHAnsi" w:cs="Helvetica"/>
        </w:rPr>
      </w:pPr>
      <w:r w:rsidRPr="00273EBD">
        <w:rPr>
          <w:rFonts w:asciiTheme="minorHAnsi" w:hAnsiTheme="minorHAnsi" w:cs="Helvetica"/>
        </w:rPr>
        <w:t xml:space="preserve"> </w:t>
      </w:r>
    </w:p>
    <w:p w:rsidR="00514192" w:rsidRPr="00273EBD" w:rsidRDefault="00514192" w:rsidP="00273EBD">
      <w:pPr>
        <w:pStyle w:val="ListParagraph"/>
        <w:numPr>
          <w:ilvl w:val="0"/>
          <w:numId w:val="1"/>
        </w:numPr>
        <w:spacing w:line="240" w:lineRule="auto"/>
        <w:rPr>
          <w:rFonts w:asciiTheme="minorHAnsi" w:hAnsiTheme="minorHAnsi" w:cs="Helvetica"/>
        </w:rPr>
      </w:pPr>
      <w:r w:rsidRPr="00273EBD">
        <w:rPr>
          <w:rFonts w:asciiTheme="minorHAnsi" w:hAnsiTheme="minorHAnsi" w:cs="Helvetica"/>
          <w:b/>
        </w:rPr>
        <w:t>Faculty terms</w:t>
      </w:r>
      <w:r w:rsidR="0083736F" w:rsidRPr="00273EBD">
        <w:rPr>
          <w:rFonts w:asciiTheme="minorHAnsi" w:hAnsiTheme="minorHAnsi" w:cs="Helvetica"/>
          <w:b/>
        </w:rPr>
        <w:t>—</w:t>
      </w:r>
      <w:r w:rsidR="0083736F" w:rsidRPr="00273EBD">
        <w:rPr>
          <w:rFonts w:asciiTheme="minorHAnsi" w:hAnsiTheme="minorHAnsi" w:cs="Helvetica"/>
        </w:rPr>
        <w:t>we need to figure out length of terms (2 or 3 years)—see below</w:t>
      </w:r>
    </w:p>
    <w:p w:rsidR="0083736F" w:rsidRPr="00273EBD" w:rsidRDefault="0083736F" w:rsidP="00BE7E74">
      <w:pPr>
        <w:spacing w:line="240" w:lineRule="auto"/>
        <w:ind w:left="720" w:hanging="360"/>
        <w:rPr>
          <w:rFonts w:asciiTheme="minorHAnsi" w:hAnsiTheme="minorHAnsi"/>
        </w:rPr>
      </w:pPr>
      <w:r w:rsidRPr="00273EBD">
        <w:rPr>
          <w:rFonts w:asciiTheme="minorHAnsi" w:hAnsiTheme="minorHAnsi"/>
        </w:rPr>
        <w:t xml:space="preserve">From the charge:  </w:t>
      </w:r>
    </w:p>
    <w:p w:rsidR="0083736F" w:rsidRPr="00273EBD" w:rsidRDefault="0083736F" w:rsidP="00BE7E74">
      <w:pPr>
        <w:spacing w:line="240" w:lineRule="auto"/>
        <w:ind w:firstLine="360"/>
        <w:rPr>
          <w:rFonts w:asciiTheme="minorHAnsi" w:hAnsiTheme="minorHAnsi"/>
        </w:rPr>
      </w:pPr>
      <w:r w:rsidRPr="00273EBD">
        <w:rPr>
          <w:rFonts w:asciiTheme="minorHAnsi" w:hAnsiTheme="minorHAnsi"/>
          <w:b/>
        </w:rPr>
        <w:t>10 Faculty: appointed by the Academic Senate</w:t>
      </w:r>
      <w:r w:rsidRPr="00273EBD">
        <w:rPr>
          <w:rFonts w:asciiTheme="minorHAnsi" w:hAnsiTheme="minorHAnsi"/>
        </w:rPr>
        <w:t xml:space="preserve">:  </w:t>
      </w:r>
    </w:p>
    <w:p w:rsidR="0083736F" w:rsidRPr="00273EBD" w:rsidRDefault="0083736F" w:rsidP="00273EBD">
      <w:pPr>
        <w:pStyle w:val="ListParagraph"/>
        <w:numPr>
          <w:ilvl w:val="0"/>
          <w:numId w:val="2"/>
        </w:numPr>
        <w:spacing w:line="240" w:lineRule="auto"/>
        <w:ind w:left="720"/>
        <w:rPr>
          <w:rFonts w:asciiTheme="minorHAnsi" w:hAnsiTheme="minorHAnsi"/>
        </w:rPr>
      </w:pPr>
      <w:r w:rsidRPr="00273EBD">
        <w:rPr>
          <w:rFonts w:asciiTheme="minorHAnsi" w:hAnsiTheme="minorHAnsi"/>
        </w:rPr>
        <w:t xml:space="preserve">Assessment Co-chair or liaison, </w:t>
      </w:r>
    </w:p>
    <w:p w:rsidR="0083736F" w:rsidRPr="00273EBD" w:rsidRDefault="0083736F" w:rsidP="00273EBD">
      <w:pPr>
        <w:pStyle w:val="ListParagraph"/>
        <w:numPr>
          <w:ilvl w:val="0"/>
          <w:numId w:val="2"/>
        </w:numPr>
        <w:spacing w:line="240" w:lineRule="auto"/>
        <w:ind w:left="720"/>
        <w:rPr>
          <w:rFonts w:asciiTheme="minorHAnsi" w:hAnsiTheme="minorHAnsi"/>
        </w:rPr>
      </w:pPr>
      <w:r w:rsidRPr="00273EBD">
        <w:rPr>
          <w:rFonts w:asciiTheme="minorHAnsi" w:hAnsiTheme="minorHAnsi"/>
        </w:rPr>
        <w:t xml:space="preserve">Program Review Co-chair or liaison, </w:t>
      </w:r>
    </w:p>
    <w:p w:rsidR="0083736F" w:rsidRPr="00273EBD" w:rsidRDefault="0083736F" w:rsidP="00273EBD">
      <w:pPr>
        <w:pStyle w:val="ListParagraph"/>
        <w:numPr>
          <w:ilvl w:val="0"/>
          <w:numId w:val="2"/>
        </w:numPr>
        <w:spacing w:line="240" w:lineRule="auto"/>
        <w:ind w:left="720"/>
        <w:rPr>
          <w:rFonts w:asciiTheme="minorHAnsi" w:hAnsiTheme="minorHAnsi"/>
        </w:rPr>
      </w:pPr>
      <w:r w:rsidRPr="00273EBD">
        <w:rPr>
          <w:rFonts w:asciiTheme="minorHAnsi" w:hAnsiTheme="minorHAnsi"/>
        </w:rPr>
        <w:t xml:space="preserve">Institutional Learning Outcomes lead, </w:t>
      </w:r>
    </w:p>
    <w:p w:rsidR="0083736F" w:rsidRPr="00273EBD" w:rsidRDefault="0083736F" w:rsidP="00273EBD">
      <w:pPr>
        <w:pStyle w:val="ListParagraph"/>
        <w:numPr>
          <w:ilvl w:val="0"/>
          <w:numId w:val="2"/>
        </w:numPr>
        <w:spacing w:line="240" w:lineRule="auto"/>
        <w:ind w:left="720"/>
        <w:rPr>
          <w:rFonts w:asciiTheme="minorHAnsi" w:hAnsiTheme="minorHAnsi"/>
        </w:rPr>
      </w:pPr>
      <w:r w:rsidRPr="00273EBD">
        <w:rPr>
          <w:rFonts w:asciiTheme="minorHAnsi" w:hAnsiTheme="minorHAnsi"/>
        </w:rPr>
        <w:t xml:space="preserve">Scorecard/data coach lead, </w:t>
      </w:r>
    </w:p>
    <w:p w:rsidR="0083736F" w:rsidRPr="00273EBD" w:rsidRDefault="0083736F" w:rsidP="00273EBD">
      <w:pPr>
        <w:pStyle w:val="ListParagraph"/>
        <w:spacing w:line="240" w:lineRule="auto"/>
        <w:rPr>
          <w:rFonts w:asciiTheme="minorHAnsi" w:hAnsiTheme="minorHAnsi"/>
        </w:rPr>
      </w:pPr>
      <w:proofErr w:type="gramStart"/>
      <w:r w:rsidRPr="00273EBD">
        <w:rPr>
          <w:rFonts w:asciiTheme="minorHAnsi" w:hAnsiTheme="minorHAnsi"/>
        </w:rPr>
        <w:t>and</w:t>
      </w:r>
      <w:proofErr w:type="gramEnd"/>
      <w:r w:rsidRPr="00273EBD">
        <w:rPr>
          <w:rFonts w:asciiTheme="minorHAnsi" w:hAnsiTheme="minorHAnsi"/>
        </w:rPr>
        <w:t xml:space="preserve"> five (5) from areas directly related to one or more of the accreditation standards (Library, </w:t>
      </w:r>
      <w:smartTag w:uri="urn:schemas-microsoft-com:office:smarttags" w:element="stockticker">
        <w:r w:rsidRPr="00273EBD">
          <w:rPr>
            <w:rFonts w:asciiTheme="minorHAnsi" w:hAnsiTheme="minorHAnsi"/>
          </w:rPr>
          <w:t>CTE</w:t>
        </w:r>
      </w:smartTag>
      <w:r w:rsidRPr="00273EBD">
        <w:rPr>
          <w:rFonts w:asciiTheme="minorHAnsi" w:hAnsiTheme="minorHAnsi"/>
        </w:rPr>
        <w:t xml:space="preserve">, General Education, Basic Skills, and Student Services); and one (1) at-large member.  </w:t>
      </w:r>
    </w:p>
    <w:p w:rsidR="0083736F" w:rsidRPr="00273EBD" w:rsidRDefault="0083736F" w:rsidP="00273EBD">
      <w:pPr>
        <w:spacing w:line="240" w:lineRule="auto"/>
        <w:ind w:left="720"/>
        <w:rPr>
          <w:rFonts w:asciiTheme="minorHAnsi" w:hAnsiTheme="minorHAnsi"/>
          <w:color w:val="FF0000"/>
        </w:rPr>
      </w:pPr>
      <w:r w:rsidRPr="00273EBD">
        <w:rPr>
          <w:rFonts w:asciiTheme="minorHAnsi" w:hAnsiTheme="minorHAnsi"/>
          <w:color w:val="FF0000"/>
        </w:rPr>
        <w:t>Terms for the initial group of faculty will be staggered in 2 or 3 year increments so they do not expire at the same time.  The future suggested term will be 3 years.</w:t>
      </w:r>
    </w:p>
    <w:p w:rsidR="00273EBD" w:rsidRPr="00273EBD" w:rsidRDefault="00273EBD" w:rsidP="00273EBD">
      <w:pPr>
        <w:spacing w:line="240" w:lineRule="auto"/>
        <w:ind w:left="720"/>
        <w:rPr>
          <w:rFonts w:asciiTheme="minorHAnsi" w:hAnsiTheme="minorHAnsi"/>
          <w:color w:val="FF0000"/>
        </w:rPr>
      </w:pPr>
    </w:p>
    <w:p w:rsidR="00C96E16" w:rsidRPr="00273EBD" w:rsidRDefault="00C96E16" w:rsidP="00273EBD">
      <w:pPr>
        <w:numPr>
          <w:ilvl w:val="0"/>
          <w:numId w:val="1"/>
        </w:numPr>
        <w:spacing w:line="240" w:lineRule="auto"/>
        <w:rPr>
          <w:rFonts w:asciiTheme="minorHAnsi" w:hAnsiTheme="minorHAnsi" w:cs="Helvetica"/>
          <w:b/>
        </w:rPr>
      </w:pPr>
      <w:r w:rsidRPr="00273EBD">
        <w:rPr>
          <w:rFonts w:asciiTheme="minorHAnsi" w:hAnsiTheme="minorHAnsi"/>
          <w:b/>
        </w:rPr>
        <w:t>Integrating college planning and evaluation</w:t>
      </w:r>
    </w:p>
    <w:p w:rsidR="00273EBD" w:rsidRPr="00273EBD" w:rsidRDefault="00273EBD" w:rsidP="00273EBD">
      <w:pPr>
        <w:spacing w:line="240" w:lineRule="auto"/>
        <w:ind w:left="360"/>
        <w:rPr>
          <w:rFonts w:asciiTheme="minorHAnsi" w:hAnsiTheme="minorHAnsi" w:cs="Helvetica"/>
          <w:b/>
        </w:rPr>
      </w:pPr>
    </w:p>
    <w:p w:rsidR="00C96E16" w:rsidRPr="00273EBD" w:rsidRDefault="00C96E16" w:rsidP="00273EBD">
      <w:pPr>
        <w:pStyle w:val="ListParagraph"/>
        <w:numPr>
          <w:ilvl w:val="0"/>
          <w:numId w:val="1"/>
        </w:numPr>
        <w:spacing w:line="240" w:lineRule="auto"/>
        <w:rPr>
          <w:rFonts w:asciiTheme="minorHAnsi" w:hAnsiTheme="minorHAnsi" w:cs="Helvetica"/>
          <w:b/>
          <w:bCs/>
        </w:rPr>
      </w:pPr>
      <w:r w:rsidRPr="00273EBD">
        <w:rPr>
          <w:rFonts w:asciiTheme="minorHAnsi" w:hAnsiTheme="minorHAnsi" w:cs="Helvetica"/>
          <w:b/>
          <w:bCs/>
        </w:rPr>
        <w:t>Updates from groups or committees whose work intersects with AIQ’s charge.</w:t>
      </w:r>
    </w:p>
    <w:p w:rsidR="00C96E16" w:rsidRPr="00273EBD" w:rsidRDefault="00C96E16" w:rsidP="00273EBD">
      <w:pPr>
        <w:spacing w:line="240" w:lineRule="auto"/>
        <w:rPr>
          <w:rFonts w:asciiTheme="minorHAnsi" w:hAnsiTheme="minorHAnsi"/>
          <w:b/>
          <w:i/>
        </w:rPr>
      </w:pPr>
    </w:p>
    <w:p w:rsidR="00C96E16" w:rsidRPr="00273EBD" w:rsidRDefault="00C96E16" w:rsidP="00273EBD">
      <w:pPr>
        <w:spacing w:line="240" w:lineRule="auto"/>
        <w:rPr>
          <w:rFonts w:asciiTheme="minorHAnsi" w:hAnsiTheme="minorHAnsi" w:cs="Helvetica"/>
          <w:b/>
          <w:i/>
        </w:rPr>
      </w:pPr>
      <w:proofErr w:type="gramStart"/>
      <w:r w:rsidRPr="00273EBD">
        <w:rPr>
          <w:rFonts w:asciiTheme="minorHAnsi" w:hAnsiTheme="minorHAnsi"/>
          <w:b/>
          <w:i/>
        </w:rPr>
        <w:t>Standard I.B.9.</w:t>
      </w:r>
      <w:proofErr w:type="gramEnd"/>
      <w:r w:rsidRPr="00273EBD">
        <w:rPr>
          <w:rFonts w:asciiTheme="minorHAnsi" w:hAnsiTheme="minorHAnsi"/>
          <w:i/>
        </w:rPr>
        <w:t xml:space="preserve"> The institution engages in continuous, broad based, systematic evaluation and planning. The institution integrates program review, planning, and resource allocation into a comprehensive process that leads to accomplishment of its mission and improvement of institutional effectiveness and academic quality. Institutional planning addresses short- and long-range needs for educational programs and services and for human, physical, technology, and financial resources. (ER 19)</w:t>
      </w:r>
    </w:p>
    <w:p w:rsidR="00C96E16" w:rsidRPr="00273EBD" w:rsidRDefault="00C96E16" w:rsidP="00273EBD">
      <w:pPr>
        <w:spacing w:line="240" w:lineRule="auto"/>
        <w:rPr>
          <w:rFonts w:asciiTheme="minorHAnsi" w:hAnsiTheme="minorHAnsi" w:cs="Helvetica"/>
          <w:b/>
          <w:bCs/>
          <w:i/>
        </w:rPr>
      </w:pPr>
    </w:p>
    <w:p w:rsidR="00C96E16" w:rsidRPr="00273EBD" w:rsidRDefault="00C96E16" w:rsidP="00273EBD">
      <w:pPr>
        <w:spacing w:line="240" w:lineRule="auto"/>
        <w:rPr>
          <w:rFonts w:asciiTheme="minorHAnsi" w:hAnsiTheme="minorHAnsi"/>
          <w:i/>
        </w:rPr>
      </w:pPr>
      <w:proofErr w:type="gramStart"/>
      <w:r w:rsidRPr="00273EBD">
        <w:rPr>
          <w:rFonts w:asciiTheme="minorHAnsi" w:hAnsiTheme="minorHAnsi" w:cs="Helvetica"/>
          <w:b/>
          <w:bCs/>
          <w:i/>
        </w:rPr>
        <w:t>Eligibility Requirement</w:t>
      </w:r>
      <w:r w:rsidRPr="00273EBD">
        <w:rPr>
          <w:rFonts w:asciiTheme="minorHAnsi" w:hAnsiTheme="minorHAnsi"/>
          <w:b/>
          <w:i/>
        </w:rPr>
        <w:t xml:space="preserve"> 19.</w:t>
      </w:r>
      <w:proofErr w:type="gramEnd"/>
      <w:r w:rsidRPr="00273EBD">
        <w:rPr>
          <w:rFonts w:asciiTheme="minorHAnsi" w:hAnsiTheme="minorHAnsi"/>
          <w:i/>
        </w:rPr>
        <w:t xml:space="preserve">  </w:t>
      </w:r>
      <w:r w:rsidRPr="00273EBD">
        <w:rPr>
          <w:rFonts w:asciiTheme="minorHAnsi" w:hAnsiTheme="minorHAnsi"/>
          <w:b/>
          <w:i/>
        </w:rPr>
        <w:t>Institutional Planning and Evaluation</w:t>
      </w:r>
    </w:p>
    <w:p w:rsidR="00C96E16" w:rsidRPr="00273EBD" w:rsidRDefault="00C96E16" w:rsidP="00273EBD">
      <w:pPr>
        <w:spacing w:line="240" w:lineRule="auto"/>
        <w:rPr>
          <w:rFonts w:asciiTheme="minorHAnsi" w:hAnsiTheme="minorHAnsi"/>
          <w:i/>
        </w:rPr>
      </w:pPr>
      <w:r w:rsidRPr="00273EBD">
        <w:rPr>
          <w:rFonts w:asciiTheme="minorHAnsi" w:hAnsiTheme="minorHAnsi"/>
          <w:i/>
        </w:rPr>
        <w:t>The institution systematically evaluates and makes public how well and in what ways it is accomplishing its purposes, including assessment of student learning outcomes.  The institution provides evidence of planning for improvement of institutional structures and processes, student achievement of educational goals, and student learning.  The institution assess progress toward achieving its stated goals and makes decisions regarding improvement through an ongoing and systematic cycle of evaluation, integrated planning, resource allocation, implementation, and reevaluation. (Standard I.B.I and I.C.3)</w:t>
      </w:r>
    </w:p>
    <w:p w:rsidR="00C96E16" w:rsidRPr="00273EBD" w:rsidRDefault="00C96E16" w:rsidP="00273EBD">
      <w:pPr>
        <w:spacing w:line="240" w:lineRule="auto"/>
        <w:rPr>
          <w:rFonts w:asciiTheme="minorHAnsi" w:hAnsiTheme="minorHAnsi"/>
          <w:i/>
        </w:rPr>
      </w:pPr>
    </w:p>
    <w:tbl>
      <w:tblPr>
        <w:tblStyle w:val="TableGrid"/>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9576"/>
      </w:tblGrid>
      <w:tr w:rsidR="00C96E16" w:rsidRPr="00273EBD" w:rsidTr="00B54786">
        <w:trPr>
          <w:trHeight w:val="1583"/>
        </w:trPr>
        <w:tc>
          <w:tcPr>
            <w:tcW w:w="9576" w:type="dxa"/>
          </w:tcPr>
          <w:p w:rsidR="00C96E16" w:rsidRPr="00273EBD" w:rsidRDefault="00C96E16" w:rsidP="00273EBD">
            <w:pPr>
              <w:spacing w:line="240" w:lineRule="auto"/>
              <w:rPr>
                <w:rFonts w:asciiTheme="minorHAnsi" w:hAnsiTheme="minorHAnsi" w:cs="Helvetica"/>
                <w:b/>
              </w:rPr>
            </w:pPr>
            <w:r w:rsidRPr="00273EBD">
              <w:rPr>
                <w:rFonts w:asciiTheme="minorHAnsi" w:hAnsiTheme="minorHAnsi" w:cs="Helvetica"/>
                <w:b/>
              </w:rPr>
              <w:lastRenderedPageBreak/>
              <w:t>Integrity</w:t>
            </w:r>
          </w:p>
          <w:p w:rsidR="00C96E16" w:rsidRPr="00273EBD" w:rsidRDefault="00C96E16" w:rsidP="00273EBD">
            <w:pPr>
              <w:spacing w:line="240" w:lineRule="auto"/>
              <w:rPr>
                <w:rFonts w:asciiTheme="minorHAnsi" w:hAnsiTheme="minorHAnsi" w:cs="Helvetica"/>
              </w:rPr>
            </w:pPr>
            <w:r w:rsidRPr="00273EBD">
              <w:rPr>
                <w:rFonts w:asciiTheme="minorHAnsi" w:hAnsiTheme="minorHAnsi" w:cs="Helvetica"/>
              </w:rPr>
              <w:t>We continue to develop and follow an ethical and moral consciousness which places the</w:t>
            </w:r>
          </w:p>
          <w:p w:rsidR="00C96E16" w:rsidRPr="00273EBD" w:rsidRDefault="00C96E16" w:rsidP="00273EBD">
            <w:pPr>
              <w:spacing w:line="240" w:lineRule="auto"/>
              <w:rPr>
                <w:rFonts w:asciiTheme="minorHAnsi" w:hAnsiTheme="minorHAnsi" w:cs="Helvetica"/>
                <w:b/>
              </w:rPr>
            </w:pPr>
            <w:r w:rsidRPr="00273EBD">
              <w:rPr>
                <w:rFonts w:asciiTheme="minorHAnsi" w:hAnsiTheme="minorHAnsi" w:cs="Helvetica"/>
              </w:rPr>
              <w:t>collective wellbeing and health above the self; this principled environment allows for open, constructive conversations and teaches us to trust each other’s vision so that we will be useful and effective in providing support, resources, and encouragement.</w:t>
            </w:r>
            <w:r w:rsidRPr="00273EBD">
              <w:rPr>
                <w:rFonts w:asciiTheme="minorHAnsi" w:hAnsiTheme="minorHAnsi" w:cs="Helvetica"/>
                <w:b/>
              </w:rPr>
              <w:t xml:space="preserve"> </w:t>
            </w:r>
          </w:p>
        </w:tc>
      </w:tr>
    </w:tbl>
    <w:p w:rsidR="00C96E16" w:rsidRPr="00273EBD" w:rsidRDefault="00C96E16" w:rsidP="00273EBD">
      <w:pPr>
        <w:spacing w:line="240" w:lineRule="auto"/>
        <w:rPr>
          <w:rFonts w:asciiTheme="minorHAnsi" w:hAnsiTheme="minorHAnsi" w:cs="Helvetica"/>
          <w:b/>
        </w:rPr>
      </w:pPr>
    </w:p>
    <w:p w:rsidR="00C96E16" w:rsidRPr="00273EBD" w:rsidRDefault="00C96E16" w:rsidP="00273EBD">
      <w:pPr>
        <w:spacing w:line="240" w:lineRule="auto"/>
        <w:rPr>
          <w:rFonts w:asciiTheme="minorHAnsi" w:hAnsiTheme="minorHAnsi" w:cs="Helvetica"/>
          <w:b/>
        </w:rPr>
      </w:pPr>
      <w:r w:rsidRPr="00273EBD">
        <w:rPr>
          <w:rFonts w:asciiTheme="minorHAnsi" w:hAnsiTheme="minorHAnsi" w:cs="Helvetica"/>
          <w:b/>
        </w:rPr>
        <w:t>Calendar of meetings 2015-16</w:t>
      </w:r>
    </w:p>
    <w:p w:rsidR="00C96E16" w:rsidRPr="00273EBD" w:rsidRDefault="00C96E16" w:rsidP="00273EBD">
      <w:pPr>
        <w:spacing w:line="240" w:lineRule="auto"/>
        <w:ind w:left="720"/>
        <w:rPr>
          <w:rFonts w:asciiTheme="minorHAnsi" w:hAnsiTheme="minorHAnsi"/>
        </w:rPr>
        <w:sectPr w:rsidR="00C96E16" w:rsidRPr="00273EBD" w:rsidSect="00BE7E74">
          <w:pgSz w:w="12240" w:h="15840"/>
          <w:pgMar w:top="720" w:right="1440" w:bottom="720" w:left="1440" w:header="720" w:footer="720" w:gutter="0"/>
          <w:cols w:space="720"/>
          <w:docGrid w:linePitch="360"/>
        </w:sectPr>
      </w:pPr>
    </w:p>
    <w:p w:rsidR="00C96E16" w:rsidRPr="00273EBD" w:rsidRDefault="00C96E16" w:rsidP="00273EBD">
      <w:pPr>
        <w:spacing w:line="240" w:lineRule="auto"/>
        <w:ind w:left="720"/>
        <w:rPr>
          <w:rFonts w:asciiTheme="minorHAnsi" w:hAnsiTheme="minorHAnsi"/>
        </w:rPr>
      </w:pPr>
      <w:r w:rsidRPr="00273EBD">
        <w:rPr>
          <w:rFonts w:asciiTheme="minorHAnsi" w:hAnsiTheme="minorHAnsi"/>
        </w:rPr>
        <w:lastRenderedPageBreak/>
        <w:t>September 1 (week 2), 15, 29</w:t>
      </w:r>
    </w:p>
    <w:p w:rsidR="00C96E16" w:rsidRPr="00273EBD" w:rsidRDefault="00C96E16" w:rsidP="00273EBD">
      <w:pPr>
        <w:spacing w:line="240" w:lineRule="auto"/>
        <w:ind w:left="720"/>
        <w:rPr>
          <w:rFonts w:asciiTheme="minorHAnsi" w:hAnsiTheme="minorHAnsi"/>
        </w:rPr>
      </w:pPr>
      <w:r w:rsidRPr="00273EBD">
        <w:rPr>
          <w:rFonts w:asciiTheme="minorHAnsi" w:hAnsiTheme="minorHAnsi"/>
        </w:rPr>
        <w:t>October 13, 27</w:t>
      </w:r>
    </w:p>
    <w:p w:rsidR="00C96E16" w:rsidRPr="00273EBD" w:rsidRDefault="00C96E16" w:rsidP="00273EBD">
      <w:pPr>
        <w:spacing w:line="240" w:lineRule="auto"/>
        <w:ind w:left="720"/>
        <w:rPr>
          <w:rFonts w:asciiTheme="minorHAnsi" w:hAnsiTheme="minorHAnsi"/>
        </w:rPr>
      </w:pPr>
      <w:r w:rsidRPr="00273EBD">
        <w:rPr>
          <w:rFonts w:asciiTheme="minorHAnsi" w:hAnsiTheme="minorHAnsi"/>
        </w:rPr>
        <w:t>November 10, 24</w:t>
      </w:r>
    </w:p>
    <w:p w:rsidR="00273EBD" w:rsidRPr="00273EBD" w:rsidRDefault="00C96E16" w:rsidP="00273EBD">
      <w:pPr>
        <w:spacing w:line="240" w:lineRule="auto"/>
        <w:ind w:left="720"/>
        <w:rPr>
          <w:rFonts w:asciiTheme="minorHAnsi" w:hAnsiTheme="minorHAnsi"/>
        </w:rPr>
      </w:pPr>
      <w:r w:rsidRPr="00273EBD">
        <w:rPr>
          <w:rFonts w:asciiTheme="minorHAnsi" w:hAnsiTheme="minorHAnsi"/>
        </w:rPr>
        <w:t xml:space="preserve">December </w:t>
      </w:r>
      <w:r w:rsidR="00273EBD">
        <w:rPr>
          <w:rFonts w:asciiTheme="minorHAnsi" w:hAnsiTheme="minorHAnsi"/>
        </w:rPr>
        <w:t>8</w:t>
      </w:r>
    </w:p>
    <w:p w:rsidR="00C96E16" w:rsidRPr="00273EBD" w:rsidRDefault="00C96E16" w:rsidP="00273EBD">
      <w:pPr>
        <w:spacing w:line="240" w:lineRule="auto"/>
        <w:ind w:left="720"/>
        <w:rPr>
          <w:rFonts w:asciiTheme="minorHAnsi" w:hAnsiTheme="minorHAnsi"/>
        </w:rPr>
      </w:pPr>
      <w:r w:rsidRPr="00273EBD">
        <w:rPr>
          <w:rFonts w:asciiTheme="minorHAnsi" w:hAnsiTheme="minorHAnsi"/>
        </w:rPr>
        <w:t>January 26</w:t>
      </w:r>
    </w:p>
    <w:p w:rsidR="00C96E16" w:rsidRPr="00273EBD" w:rsidRDefault="00C96E16" w:rsidP="00273EBD">
      <w:pPr>
        <w:spacing w:line="240" w:lineRule="auto"/>
        <w:ind w:left="720"/>
        <w:rPr>
          <w:rFonts w:asciiTheme="minorHAnsi" w:hAnsiTheme="minorHAnsi"/>
        </w:rPr>
      </w:pPr>
      <w:r w:rsidRPr="00273EBD">
        <w:rPr>
          <w:rFonts w:asciiTheme="minorHAnsi" w:hAnsiTheme="minorHAnsi"/>
        </w:rPr>
        <w:lastRenderedPageBreak/>
        <w:t>February 9 and 23</w:t>
      </w:r>
    </w:p>
    <w:p w:rsidR="00C96E16" w:rsidRPr="00273EBD" w:rsidRDefault="00C96E16" w:rsidP="00273EBD">
      <w:pPr>
        <w:spacing w:line="240" w:lineRule="auto"/>
        <w:ind w:left="720"/>
        <w:rPr>
          <w:rFonts w:asciiTheme="minorHAnsi" w:hAnsiTheme="minorHAnsi"/>
        </w:rPr>
      </w:pPr>
      <w:r w:rsidRPr="00273EBD">
        <w:rPr>
          <w:rFonts w:asciiTheme="minorHAnsi" w:hAnsiTheme="minorHAnsi"/>
        </w:rPr>
        <w:t>March 8 and 29</w:t>
      </w:r>
    </w:p>
    <w:p w:rsidR="00C96E16" w:rsidRPr="00273EBD" w:rsidRDefault="00C96E16" w:rsidP="00273EBD">
      <w:pPr>
        <w:spacing w:line="240" w:lineRule="auto"/>
        <w:ind w:firstLine="720"/>
        <w:rPr>
          <w:rFonts w:asciiTheme="minorHAnsi" w:hAnsiTheme="minorHAnsi"/>
        </w:rPr>
      </w:pPr>
      <w:r w:rsidRPr="00273EBD">
        <w:rPr>
          <w:rFonts w:asciiTheme="minorHAnsi" w:hAnsiTheme="minorHAnsi"/>
        </w:rPr>
        <w:t>Spring recess Mary 21—25</w:t>
      </w:r>
    </w:p>
    <w:p w:rsidR="00C96E16" w:rsidRPr="00273EBD" w:rsidRDefault="00C96E16" w:rsidP="00273EBD">
      <w:pPr>
        <w:spacing w:line="240" w:lineRule="auto"/>
        <w:ind w:left="720"/>
        <w:rPr>
          <w:rFonts w:asciiTheme="minorHAnsi" w:hAnsiTheme="minorHAnsi"/>
        </w:rPr>
      </w:pPr>
      <w:r w:rsidRPr="00273EBD">
        <w:rPr>
          <w:rFonts w:asciiTheme="minorHAnsi" w:hAnsiTheme="minorHAnsi"/>
        </w:rPr>
        <w:t>April 12 and 26</w:t>
      </w:r>
    </w:p>
    <w:p w:rsidR="00C96E16" w:rsidRPr="00273EBD" w:rsidRDefault="00C96E16" w:rsidP="00273EBD">
      <w:pPr>
        <w:spacing w:line="240" w:lineRule="auto"/>
        <w:ind w:left="720"/>
        <w:rPr>
          <w:rFonts w:asciiTheme="minorHAnsi" w:hAnsiTheme="minorHAnsi"/>
        </w:rPr>
      </w:pPr>
      <w:r w:rsidRPr="00273EBD">
        <w:rPr>
          <w:rFonts w:asciiTheme="minorHAnsi" w:hAnsiTheme="minorHAnsi"/>
        </w:rPr>
        <w:t>May 10 (as needed, during finals)</w:t>
      </w:r>
    </w:p>
    <w:p w:rsidR="00C96E16" w:rsidRPr="00273EBD" w:rsidRDefault="00C96E16" w:rsidP="00273EBD">
      <w:pPr>
        <w:spacing w:line="240" w:lineRule="auto"/>
        <w:rPr>
          <w:rFonts w:asciiTheme="minorHAnsi" w:hAnsiTheme="minorHAnsi" w:cs="Helvetica"/>
          <w:b/>
        </w:rPr>
        <w:sectPr w:rsidR="00C96E16" w:rsidRPr="00273EBD" w:rsidSect="00C96E16">
          <w:type w:val="continuous"/>
          <w:pgSz w:w="12240" w:h="15840"/>
          <w:pgMar w:top="720" w:right="1440" w:bottom="720" w:left="1440" w:header="720" w:footer="720" w:gutter="0"/>
          <w:cols w:num="2" w:space="720"/>
          <w:docGrid w:linePitch="360"/>
        </w:sectPr>
      </w:pPr>
    </w:p>
    <w:p w:rsidR="00FF7E9E" w:rsidRDefault="00FF7E9E" w:rsidP="00273EBD">
      <w:pPr>
        <w:spacing w:line="240" w:lineRule="auto"/>
        <w:rPr>
          <w:rFonts w:asciiTheme="minorHAnsi" w:hAnsiTheme="minorHAnsi"/>
        </w:rPr>
      </w:pPr>
    </w:p>
    <w:p w:rsidR="00273EBD" w:rsidRDefault="00273EBD" w:rsidP="00273EBD">
      <w:pPr>
        <w:spacing w:line="240" w:lineRule="auto"/>
        <w:rPr>
          <w:rFonts w:asciiTheme="minorHAnsi" w:hAnsiTheme="minorHAnsi" w:cs="Helvetica"/>
          <w:b/>
        </w:rPr>
      </w:pPr>
      <w:r>
        <w:rPr>
          <w:rFonts w:asciiTheme="minorHAnsi" w:hAnsiTheme="minorHAnsi" w:cs="Helvetica"/>
          <w:b/>
        </w:rPr>
        <w:t xml:space="preserve">2015-16 Refreshments </w:t>
      </w:r>
      <w:proofErr w:type="spellStart"/>
      <w:r>
        <w:rPr>
          <w:rFonts w:asciiTheme="minorHAnsi" w:hAnsiTheme="minorHAnsi" w:cs="Helvetica"/>
          <w:b/>
        </w:rPr>
        <w:t>sign up</w:t>
      </w:r>
      <w:proofErr w:type="spellEnd"/>
      <w:r>
        <w:rPr>
          <w:rFonts w:asciiTheme="minorHAnsi" w:hAnsiTheme="minorHAnsi" w:cs="Helvetica"/>
          <w:b/>
        </w:rPr>
        <w:t xml:space="preserve"> sheet</w:t>
      </w:r>
    </w:p>
    <w:p w:rsidR="00273EBD" w:rsidRDefault="00273EBD" w:rsidP="00273EBD">
      <w:pPr>
        <w:spacing w:line="240" w:lineRule="auto"/>
        <w:rPr>
          <w:rFonts w:asciiTheme="minorHAnsi" w:hAnsiTheme="minorHAnsi" w:cs="Helvetica"/>
          <w:b/>
        </w:rPr>
      </w:pPr>
    </w:p>
    <w:p w:rsidR="00273EBD" w:rsidRDefault="00273EBD" w:rsidP="00273EBD">
      <w:pPr>
        <w:spacing w:line="360" w:lineRule="auto"/>
        <w:ind w:left="720"/>
        <w:rPr>
          <w:rFonts w:asciiTheme="minorHAnsi" w:hAnsiTheme="minorHAnsi"/>
        </w:rPr>
      </w:pPr>
      <w:r>
        <w:rPr>
          <w:rFonts w:asciiTheme="minorHAnsi" w:hAnsiTheme="minorHAnsi"/>
        </w:rPr>
        <w:t>Sept</w:t>
      </w:r>
      <w:r>
        <w:rPr>
          <w:rFonts w:asciiTheme="minorHAnsi" w:hAnsiTheme="minorHAnsi"/>
        </w:rPr>
        <w:tab/>
        <w:t xml:space="preserve">  1 </w:t>
      </w:r>
    </w:p>
    <w:p w:rsidR="00273EBD" w:rsidRDefault="00273EBD" w:rsidP="00273EBD">
      <w:pPr>
        <w:spacing w:line="360" w:lineRule="auto"/>
        <w:ind w:left="1440"/>
        <w:rPr>
          <w:rFonts w:asciiTheme="minorHAnsi" w:hAnsiTheme="minorHAnsi"/>
        </w:rPr>
      </w:pPr>
      <w:r w:rsidRPr="00273EBD">
        <w:rPr>
          <w:rFonts w:asciiTheme="minorHAnsi" w:hAnsiTheme="minorHAnsi"/>
        </w:rPr>
        <w:t>15</w:t>
      </w:r>
    </w:p>
    <w:p w:rsidR="00273EBD" w:rsidRPr="00273EBD" w:rsidRDefault="00273EBD" w:rsidP="00273EBD">
      <w:pPr>
        <w:spacing w:line="360" w:lineRule="auto"/>
        <w:ind w:left="720" w:firstLine="720"/>
        <w:rPr>
          <w:rFonts w:asciiTheme="minorHAnsi" w:hAnsiTheme="minorHAnsi"/>
        </w:rPr>
      </w:pPr>
      <w:r w:rsidRPr="00273EBD">
        <w:rPr>
          <w:rFonts w:asciiTheme="minorHAnsi" w:hAnsiTheme="minorHAnsi"/>
        </w:rPr>
        <w:t>29</w:t>
      </w:r>
    </w:p>
    <w:p w:rsidR="00273EBD" w:rsidRDefault="00273EBD" w:rsidP="00273EBD">
      <w:pPr>
        <w:spacing w:line="360" w:lineRule="auto"/>
        <w:ind w:left="720"/>
        <w:rPr>
          <w:rFonts w:asciiTheme="minorHAnsi" w:hAnsiTheme="minorHAnsi"/>
        </w:rPr>
      </w:pPr>
      <w:r>
        <w:rPr>
          <w:rFonts w:asciiTheme="minorHAnsi" w:hAnsiTheme="minorHAnsi"/>
        </w:rPr>
        <w:t>Oct</w:t>
      </w:r>
      <w:r>
        <w:rPr>
          <w:rFonts w:asciiTheme="minorHAnsi" w:hAnsiTheme="minorHAnsi"/>
        </w:rPr>
        <w:tab/>
      </w:r>
      <w:r w:rsidRPr="00273EBD">
        <w:rPr>
          <w:rFonts w:asciiTheme="minorHAnsi" w:hAnsiTheme="minorHAnsi"/>
        </w:rPr>
        <w:t>13</w:t>
      </w:r>
    </w:p>
    <w:p w:rsidR="00273EBD" w:rsidRPr="00273EBD" w:rsidRDefault="00273EBD" w:rsidP="00273EBD">
      <w:pPr>
        <w:spacing w:line="360" w:lineRule="auto"/>
        <w:ind w:left="720" w:firstLine="720"/>
        <w:rPr>
          <w:rFonts w:asciiTheme="minorHAnsi" w:hAnsiTheme="minorHAnsi"/>
        </w:rPr>
      </w:pPr>
      <w:r w:rsidRPr="00273EBD">
        <w:rPr>
          <w:rFonts w:asciiTheme="minorHAnsi" w:hAnsiTheme="minorHAnsi"/>
        </w:rPr>
        <w:t>27</w:t>
      </w:r>
    </w:p>
    <w:p w:rsidR="00273EBD" w:rsidRDefault="00273EBD" w:rsidP="00273EBD">
      <w:pPr>
        <w:spacing w:line="360" w:lineRule="auto"/>
        <w:ind w:left="720"/>
        <w:rPr>
          <w:rFonts w:asciiTheme="minorHAnsi" w:hAnsiTheme="minorHAnsi"/>
        </w:rPr>
      </w:pPr>
      <w:r w:rsidRPr="00273EBD">
        <w:rPr>
          <w:rFonts w:asciiTheme="minorHAnsi" w:hAnsiTheme="minorHAnsi"/>
        </w:rPr>
        <w:t>Nov</w:t>
      </w:r>
      <w:r>
        <w:rPr>
          <w:rFonts w:asciiTheme="minorHAnsi" w:hAnsiTheme="minorHAnsi"/>
        </w:rPr>
        <w:tab/>
      </w:r>
      <w:r w:rsidRPr="00273EBD">
        <w:rPr>
          <w:rFonts w:asciiTheme="minorHAnsi" w:hAnsiTheme="minorHAnsi"/>
        </w:rPr>
        <w:t>10</w:t>
      </w:r>
    </w:p>
    <w:p w:rsidR="00273EBD" w:rsidRPr="00273EBD" w:rsidRDefault="00273EBD" w:rsidP="00273EBD">
      <w:pPr>
        <w:spacing w:line="360" w:lineRule="auto"/>
        <w:ind w:left="720" w:firstLine="720"/>
        <w:rPr>
          <w:rFonts w:asciiTheme="minorHAnsi" w:hAnsiTheme="minorHAnsi"/>
        </w:rPr>
      </w:pPr>
      <w:r w:rsidRPr="00273EBD">
        <w:rPr>
          <w:rFonts w:asciiTheme="minorHAnsi" w:hAnsiTheme="minorHAnsi"/>
        </w:rPr>
        <w:t>24</w:t>
      </w:r>
    </w:p>
    <w:p w:rsidR="00273EBD" w:rsidRPr="00273EBD" w:rsidRDefault="00273EBD" w:rsidP="00273EBD">
      <w:pPr>
        <w:spacing w:line="360" w:lineRule="auto"/>
        <w:ind w:left="720"/>
        <w:rPr>
          <w:rFonts w:asciiTheme="minorHAnsi" w:hAnsiTheme="minorHAnsi"/>
        </w:rPr>
      </w:pPr>
      <w:r w:rsidRPr="00273EBD">
        <w:rPr>
          <w:rFonts w:asciiTheme="minorHAnsi" w:hAnsiTheme="minorHAnsi"/>
        </w:rPr>
        <w:t>Dec</w:t>
      </w:r>
      <w:r>
        <w:rPr>
          <w:rFonts w:asciiTheme="minorHAnsi" w:hAnsiTheme="minorHAnsi"/>
        </w:rPr>
        <w:tab/>
        <w:t xml:space="preserve">  8 </w:t>
      </w:r>
      <w:r w:rsidRPr="00273EBD">
        <w:rPr>
          <w:rFonts w:asciiTheme="minorHAnsi" w:hAnsiTheme="minorHAnsi"/>
        </w:rPr>
        <w:t>(as needed, during finals)</w:t>
      </w:r>
    </w:p>
    <w:p w:rsidR="00273EBD" w:rsidRPr="00273EBD" w:rsidRDefault="00273EBD" w:rsidP="00273EBD">
      <w:pPr>
        <w:spacing w:line="360" w:lineRule="auto"/>
        <w:ind w:left="720"/>
        <w:rPr>
          <w:rFonts w:asciiTheme="minorHAnsi" w:hAnsiTheme="minorHAnsi"/>
        </w:rPr>
      </w:pPr>
    </w:p>
    <w:p w:rsidR="00273EBD" w:rsidRDefault="00273EBD" w:rsidP="00273EBD">
      <w:pPr>
        <w:spacing w:line="360" w:lineRule="auto"/>
        <w:ind w:left="720"/>
        <w:rPr>
          <w:rFonts w:asciiTheme="minorHAnsi" w:hAnsiTheme="minorHAnsi"/>
        </w:rPr>
      </w:pPr>
      <w:r w:rsidRPr="00273EBD">
        <w:rPr>
          <w:rFonts w:asciiTheme="minorHAnsi" w:hAnsiTheme="minorHAnsi"/>
        </w:rPr>
        <w:t>Jan</w:t>
      </w:r>
      <w:r>
        <w:rPr>
          <w:rFonts w:asciiTheme="minorHAnsi" w:hAnsiTheme="minorHAnsi"/>
        </w:rPr>
        <w:tab/>
      </w:r>
      <w:r w:rsidRPr="00273EBD">
        <w:rPr>
          <w:rFonts w:asciiTheme="minorHAnsi" w:hAnsiTheme="minorHAnsi"/>
        </w:rPr>
        <w:t>26</w:t>
      </w:r>
    </w:p>
    <w:p w:rsidR="00273EBD" w:rsidRDefault="00273EBD" w:rsidP="00273EBD">
      <w:pPr>
        <w:spacing w:line="360" w:lineRule="auto"/>
        <w:ind w:left="720"/>
        <w:rPr>
          <w:rFonts w:asciiTheme="minorHAnsi" w:hAnsiTheme="minorHAnsi"/>
        </w:rPr>
      </w:pPr>
      <w:r w:rsidRPr="00273EBD">
        <w:rPr>
          <w:rFonts w:asciiTheme="minorHAnsi" w:hAnsiTheme="minorHAnsi"/>
        </w:rPr>
        <w:t>Feb</w:t>
      </w:r>
      <w:r>
        <w:rPr>
          <w:rFonts w:asciiTheme="minorHAnsi" w:hAnsiTheme="minorHAnsi"/>
        </w:rPr>
        <w:tab/>
        <w:t xml:space="preserve">  </w:t>
      </w:r>
      <w:r w:rsidRPr="00273EBD">
        <w:rPr>
          <w:rFonts w:asciiTheme="minorHAnsi" w:hAnsiTheme="minorHAnsi"/>
        </w:rPr>
        <w:t>9</w:t>
      </w:r>
    </w:p>
    <w:p w:rsidR="00273EBD" w:rsidRPr="00273EBD" w:rsidRDefault="00273EBD" w:rsidP="00273EBD">
      <w:pPr>
        <w:spacing w:line="360" w:lineRule="auto"/>
        <w:ind w:left="720" w:firstLine="720"/>
        <w:rPr>
          <w:rFonts w:asciiTheme="minorHAnsi" w:hAnsiTheme="minorHAnsi"/>
        </w:rPr>
      </w:pPr>
      <w:r w:rsidRPr="00273EBD">
        <w:rPr>
          <w:rFonts w:asciiTheme="minorHAnsi" w:hAnsiTheme="minorHAnsi"/>
        </w:rPr>
        <w:t>23</w:t>
      </w:r>
    </w:p>
    <w:p w:rsidR="00273EBD" w:rsidRDefault="00273EBD" w:rsidP="00273EBD">
      <w:pPr>
        <w:spacing w:line="360" w:lineRule="auto"/>
        <w:ind w:left="720"/>
        <w:rPr>
          <w:rFonts w:asciiTheme="minorHAnsi" w:hAnsiTheme="minorHAnsi"/>
        </w:rPr>
      </w:pPr>
      <w:r>
        <w:rPr>
          <w:rFonts w:asciiTheme="minorHAnsi" w:hAnsiTheme="minorHAnsi"/>
        </w:rPr>
        <w:t>Mar</w:t>
      </w:r>
      <w:r>
        <w:rPr>
          <w:rFonts w:asciiTheme="minorHAnsi" w:hAnsiTheme="minorHAnsi"/>
        </w:rPr>
        <w:tab/>
        <w:t xml:space="preserve">  8</w:t>
      </w:r>
    </w:p>
    <w:p w:rsidR="00273EBD" w:rsidRPr="00273EBD" w:rsidRDefault="00273EBD" w:rsidP="00273EBD">
      <w:pPr>
        <w:spacing w:line="360" w:lineRule="auto"/>
        <w:ind w:left="720" w:firstLine="720"/>
        <w:rPr>
          <w:rFonts w:asciiTheme="minorHAnsi" w:hAnsiTheme="minorHAnsi"/>
        </w:rPr>
      </w:pPr>
      <w:r w:rsidRPr="00273EBD">
        <w:rPr>
          <w:rFonts w:asciiTheme="minorHAnsi" w:hAnsiTheme="minorHAnsi"/>
        </w:rPr>
        <w:t>29</w:t>
      </w:r>
    </w:p>
    <w:p w:rsidR="00273EBD" w:rsidRDefault="00273EBD" w:rsidP="00273EBD">
      <w:pPr>
        <w:spacing w:line="360" w:lineRule="auto"/>
        <w:ind w:left="720"/>
        <w:rPr>
          <w:rFonts w:asciiTheme="minorHAnsi" w:hAnsiTheme="minorHAnsi"/>
        </w:rPr>
      </w:pPr>
      <w:r w:rsidRPr="00273EBD">
        <w:rPr>
          <w:rFonts w:asciiTheme="minorHAnsi" w:hAnsiTheme="minorHAnsi"/>
        </w:rPr>
        <w:t>Apr</w:t>
      </w:r>
      <w:r>
        <w:rPr>
          <w:rFonts w:asciiTheme="minorHAnsi" w:hAnsiTheme="minorHAnsi"/>
        </w:rPr>
        <w:tab/>
        <w:t>1</w:t>
      </w:r>
      <w:r w:rsidRPr="00273EBD">
        <w:rPr>
          <w:rFonts w:asciiTheme="minorHAnsi" w:hAnsiTheme="minorHAnsi"/>
        </w:rPr>
        <w:t>2</w:t>
      </w:r>
    </w:p>
    <w:p w:rsidR="00273EBD" w:rsidRPr="00273EBD" w:rsidRDefault="00273EBD" w:rsidP="00273EBD">
      <w:pPr>
        <w:spacing w:line="360" w:lineRule="auto"/>
        <w:ind w:left="720" w:firstLine="720"/>
        <w:rPr>
          <w:rFonts w:asciiTheme="minorHAnsi" w:hAnsiTheme="minorHAnsi"/>
        </w:rPr>
      </w:pPr>
      <w:r w:rsidRPr="00273EBD">
        <w:rPr>
          <w:rFonts w:asciiTheme="minorHAnsi" w:hAnsiTheme="minorHAnsi"/>
        </w:rPr>
        <w:t>26</w:t>
      </w:r>
    </w:p>
    <w:p w:rsidR="00273EBD" w:rsidRPr="00273EBD" w:rsidRDefault="00273EBD" w:rsidP="00273EBD">
      <w:pPr>
        <w:spacing w:line="360" w:lineRule="auto"/>
        <w:ind w:left="720"/>
        <w:rPr>
          <w:rFonts w:asciiTheme="minorHAnsi" w:hAnsiTheme="minorHAnsi"/>
        </w:rPr>
      </w:pPr>
      <w:r w:rsidRPr="00273EBD">
        <w:rPr>
          <w:rFonts w:asciiTheme="minorHAnsi" w:hAnsiTheme="minorHAnsi"/>
        </w:rPr>
        <w:t xml:space="preserve">May </w:t>
      </w:r>
      <w:r>
        <w:rPr>
          <w:rFonts w:asciiTheme="minorHAnsi" w:hAnsiTheme="minorHAnsi"/>
        </w:rPr>
        <w:tab/>
      </w:r>
      <w:r w:rsidRPr="00273EBD">
        <w:rPr>
          <w:rFonts w:asciiTheme="minorHAnsi" w:hAnsiTheme="minorHAnsi"/>
        </w:rPr>
        <w:t>10 (as needed, during finals)</w:t>
      </w:r>
    </w:p>
    <w:p w:rsidR="00273EBD" w:rsidRPr="00273EBD" w:rsidRDefault="00273EBD" w:rsidP="00273EBD">
      <w:pPr>
        <w:spacing w:line="240" w:lineRule="auto"/>
        <w:ind w:left="720"/>
        <w:rPr>
          <w:rFonts w:asciiTheme="minorHAnsi" w:hAnsiTheme="minorHAnsi"/>
        </w:rPr>
      </w:pPr>
    </w:p>
    <w:p w:rsidR="00273EBD" w:rsidRPr="00273EBD" w:rsidRDefault="00273EBD" w:rsidP="00273EBD">
      <w:pPr>
        <w:spacing w:line="240" w:lineRule="auto"/>
        <w:rPr>
          <w:rFonts w:asciiTheme="minorHAnsi" w:hAnsiTheme="minorHAnsi"/>
        </w:rPr>
      </w:pPr>
    </w:p>
    <w:sectPr w:rsidR="00273EBD" w:rsidRPr="00273EBD" w:rsidSect="00C96E16">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714"/>
    <w:multiLevelType w:val="hybridMultilevel"/>
    <w:tmpl w:val="EAD0B17C"/>
    <w:lvl w:ilvl="0" w:tplc="89340D62">
      <w:start w:val="1"/>
      <w:numFmt w:val="bullet"/>
      <w:lvlText w:val="•"/>
      <w:lvlJc w:val="left"/>
      <w:pPr>
        <w:tabs>
          <w:tab w:val="num" w:pos="720"/>
        </w:tabs>
        <w:ind w:left="720" w:hanging="360"/>
      </w:pPr>
      <w:rPr>
        <w:rFonts w:ascii="Arial" w:hAnsi="Arial" w:hint="default"/>
      </w:rPr>
    </w:lvl>
    <w:lvl w:ilvl="1" w:tplc="A89261EE" w:tentative="1">
      <w:start w:val="1"/>
      <w:numFmt w:val="bullet"/>
      <w:lvlText w:val="•"/>
      <w:lvlJc w:val="left"/>
      <w:pPr>
        <w:tabs>
          <w:tab w:val="num" w:pos="1440"/>
        </w:tabs>
        <w:ind w:left="1440" w:hanging="360"/>
      </w:pPr>
      <w:rPr>
        <w:rFonts w:ascii="Arial" w:hAnsi="Arial" w:hint="default"/>
      </w:rPr>
    </w:lvl>
    <w:lvl w:ilvl="2" w:tplc="64C67762" w:tentative="1">
      <w:start w:val="1"/>
      <w:numFmt w:val="bullet"/>
      <w:lvlText w:val="•"/>
      <w:lvlJc w:val="left"/>
      <w:pPr>
        <w:tabs>
          <w:tab w:val="num" w:pos="2160"/>
        </w:tabs>
        <w:ind w:left="2160" w:hanging="360"/>
      </w:pPr>
      <w:rPr>
        <w:rFonts w:ascii="Arial" w:hAnsi="Arial" w:hint="default"/>
      </w:rPr>
    </w:lvl>
    <w:lvl w:ilvl="3" w:tplc="7C680F6E" w:tentative="1">
      <w:start w:val="1"/>
      <w:numFmt w:val="bullet"/>
      <w:lvlText w:val="•"/>
      <w:lvlJc w:val="left"/>
      <w:pPr>
        <w:tabs>
          <w:tab w:val="num" w:pos="2880"/>
        </w:tabs>
        <w:ind w:left="2880" w:hanging="360"/>
      </w:pPr>
      <w:rPr>
        <w:rFonts w:ascii="Arial" w:hAnsi="Arial" w:hint="default"/>
      </w:rPr>
    </w:lvl>
    <w:lvl w:ilvl="4" w:tplc="6896D036" w:tentative="1">
      <w:start w:val="1"/>
      <w:numFmt w:val="bullet"/>
      <w:lvlText w:val="•"/>
      <w:lvlJc w:val="left"/>
      <w:pPr>
        <w:tabs>
          <w:tab w:val="num" w:pos="3600"/>
        </w:tabs>
        <w:ind w:left="3600" w:hanging="360"/>
      </w:pPr>
      <w:rPr>
        <w:rFonts w:ascii="Arial" w:hAnsi="Arial" w:hint="default"/>
      </w:rPr>
    </w:lvl>
    <w:lvl w:ilvl="5" w:tplc="2006F2A6" w:tentative="1">
      <w:start w:val="1"/>
      <w:numFmt w:val="bullet"/>
      <w:lvlText w:val="•"/>
      <w:lvlJc w:val="left"/>
      <w:pPr>
        <w:tabs>
          <w:tab w:val="num" w:pos="4320"/>
        </w:tabs>
        <w:ind w:left="4320" w:hanging="360"/>
      </w:pPr>
      <w:rPr>
        <w:rFonts w:ascii="Arial" w:hAnsi="Arial" w:hint="default"/>
      </w:rPr>
    </w:lvl>
    <w:lvl w:ilvl="6" w:tplc="7C7E7034" w:tentative="1">
      <w:start w:val="1"/>
      <w:numFmt w:val="bullet"/>
      <w:lvlText w:val="•"/>
      <w:lvlJc w:val="left"/>
      <w:pPr>
        <w:tabs>
          <w:tab w:val="num" w:pos="5040"/>
        </w:tabs>
        <w:ind w:left="5040" w:hanging="360"/>
      </w:pPr>
      <w:rPr>
        <w:rFonts w:ascii="Arial" w:hAnsi="Arial" w:hint="default"/>
      </w:rPr>
    </w:lvl>
    <w:lvl w:ilvl="7" w:tplc="1D5A4B38" w:tentative="1">
      <w:start w:val="1"/>
      <w:numFmt w:val="bullet"/>
      <w:lvlText w:val="•"/>
      <w:lvlJc w:val="left"/>
      <w:pPr>
        <w:tabs>
          <w:tab w:val="num" w:pos="5760"/>
        </w:tabs>
        <w:ind w:left="5760" w:hanging="360"/>
      </w:pPr>
      <w:rPr>
        <w:rFonts w:ascii="Arial" w:hAnsi="Arial" w:hint="default"/>
      </w:rPr>
    </w:lvl>
    <w:lvl w:ilvl="8" w:tplc="F334C7FE" w:tentative="1">
      <w:start w:val="1"/>
      <w:numFmt w:val="bullet"/>
      <w:lvlText w:val="•"/>
      <w:lvlJc w:val="left"/>
      <w:pPr>
        <w:tabs>
          <w:tab w:val="num" w:pos="6480"/>
        </w:tabs>
        <w:ind w:left="6480" w:hanging="360"/>
      </w:pPr>
      <w:rPr>
        <w:rFonts w:ascii="Arial" w:hAnsi="Arial" w:hint="default"/>
      </w:rPr>
    </w:lvl>
  </w:abstractNum>
  <w:abstractNum w:abstractNumId="1">
    <w:nsid w:val="0B5D1071"/>
    <w:multiLevelType w:val="hybridMultilevel"/>
    <w:tmpl w:val="EE96A33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3D927E2"/>
    <w:multiLevelType w:val="hybridMultilevel"/>
    <w:tmpl w:val="81842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16"/>
    <w:rsid w:val="00200E5F"/>
    <w:rsid w:val="00273EBD"/>
    <w:rsid w:val="00514192"/>
    <w:rsid w:val="00587EEF"/>
    <w:rsid w:val="0083736F"/>
    <w:rsid w:val="00BE7E74"/>
    <w:rsid w:val="00C96E16"/>
    <w:rsid w:val="00F341AC"/>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E16"/>
    <w:pPr>
      <w:spacing w:after="0" w:line="480" w:lineRule="auto"/>
    </w:pPr>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96E16"/>
    <w:pPr>
      <w:ind w:left="720"/>
      <w:contextualSpacing/>
    </w:pPr>
  </w:style>
  <w:style w:type="table" w:styleId="TableGrid">
    <w:name w:val="Table Grid"/>
    <w:basedOn w:val="TableNormal"/>
    <w:uiPriority w:val="59"/>
    <w:rsid w:val="00C96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E16"/>
    <w:pPr>
      <w:spacing w:after="0" w:line="480" w:lineRule="auto"/>
    </w:pPr>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96E16"/>
    <w:pPr>
      <w:ind w:left="720"/>
      <w:contextualSpacing/>
    </w:pPr>
  </w:style>
  <w:style w:type="table" w:styleId="TableGrid">
    <w:name w:val="Table Grid"/>
    <w:basedOn w:val="TableNormal"/>
    <w:uiPriority w:val="59"/>
    <w:rsid w:val="00C96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421609">
      <w:bodyDiv w:val="1"/>
      <w:marLeft w:val="0"/>
      <w:marRight w:val="0"/>
      <w:marTop w:val="0"/>
      <w:marBottom w:val="0"/>
      <w:divBdr>
        <w:top w:val="none" w:sz="0" w:space="0" w:color="auto"/>
        <w:left w:val="none" w:sz="0" w:space="0" w:color="auto"/>
        <w:bottom w:val="none" w:sz="0" w:space="0" w:color="auto"/>
        <w:right w:val="none" w:sz="0" w:space="0" w:color="auto"/>
      </w:divBdr>
      <w:divsChild>
        <w:div w:id="120652186">
          <w:marLeft w:val="547"/>
          <w:marRight w:val="0"/>
          <w:marTop w:val="125"/>
          <w:marBottom w:val="0"/>
          <w:divBdr>
            <w:top w:val="none" w:sz="0" w:space="0" w:color="auto"/>
            <w:left w:val="none" w:sz="0" w:space="0" w:color="auto"/>
            <w:bottom w:val="none" w:sz="0" w:space="0" w:color="auto"/>
            <w:right w:val="none" w:sz="0" w:space="0" w:color="auto"/>
          </w:divBdr>
        </w:div>
        <w:div w:id="2107727123">
          <w:marLeft w:val="547"/>
          <w:marRight w:val="0"/>
          <w:marTop w:val="125"/>
          <w:marBottom w:val="0"/>
          <w:divBdr>
            <w:top w:val="none" w:sz="0" w:space="0" w:color="auto"/>
            <w:left w:val="none" w:sz="0" w:space="0" w:color="auto"/>
            <w:bottom w:val="none" w:sz="0" w:space="0" w:color="auto"/>
            <w:right w:val="none" w:sz="0" w:space="0" w:color="auto"/>
          </w:divBdr>
        </w:div>
        <w:div w:id="1624968458">
          <w:marLeft w:val="547"/>
          <w:marRight w:val="0"/>
          <w:marTop w:val="125"/>
          <w:marBottom w:val="0"/>
          <w:divBdr>
            <w:top w:val="none" w:sz="0" w:space="0" w:color="auto"/>
            <w:left w:val="none" w:sz="0" w:space="0" w:color="auto"/>
            <w:bottom w:val="none" w:sz="0" w:space="0" w:color="auto"/>
            <w:right w:val="none" w:sz="0" w:space="0" w:color="auto"/>
          </w:divBdr>
        </w:div>
        <w:div w:id="1923949532">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9B6C5-34D7-4905-9896-AC749AB2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imguser</cp:lastModifiedBy>
  <cp:revision>2</cp:revision>
  <cp:lastPrinted>2015-05-05T16:52:00Z</cp:lastPrinted>
  <dcterms:created xsi:type="dcterms:W3CDTF">2015-05-05T16:53:00Z</dcterms:created>
  <dcterms:modified xsi:type="dcterms:W3CDTF">2015-05-05T16:53:00Z</dcterms:modified>
</cp:coreProperties>
</file>