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64" w:rsidRPr="00A24157" w:rsidRDefault="000E1464" w:rsidP="00A24157">
      <w:pPr>
        <w:spacing w:line="360" w:lineRule="auto"/>
        <w:contextualSpacing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A24157">
        <w:rPr>
          <w:rFonts w:asciiTheme="majorHAnsi" w:hAnsiTheme="majorHAnsi"/>
          <w:b/>
          <w:color w:val="C00000"/>
          <w:sz w:val="28"/>
          <w:szCs w:val="28"/>
        </w:rPr>
        <w:t xml:space="preserve">Understanding </w:t>
      </w:r>
      <w:r w:rsidR="00B2154B" w:rsidRPr="00A24157">
        <w:rPr>
          <w:rFonts w:asciiTheme="majorHAnsi" w:hAnsiTheme="majorHAnsi"/>
          <w:b/>
          <w:color w:val="C00000"/>
          <w:sz w:val="28"/>
          <w:szCs w:val="28"/>
        </w:rPr>
        <w:t>Your R</w:t>
      </w:r>
      <w:r w:rsidRPr="00A24157">
        <w:rPr>
          <w:rFonts w:asciiTheme="majorHAnsi" w:hAnsiTheme="majorHAnsi"/>
          <w:b/>
          <w:color w:val="C00000"/>
          <w:sz w:val="28"/>
          <w:szCs w:val="28"/>
        </w:rPr>
        <w:t xml:space="preserve">ole in </w:t>
      </w:r>
      <w:r w:rsidR="00B2154B" w:rsidRPr="00A24157">
        <w:rPr>
          <w:rFonts w:asciiTheme="majorHAnsi" w:hAnsiTheme="majorHAnsi"/>
          <w:b/>
          <w:color w:val="C00000"/>
          <w:sz w:val="28"/>
          <w:szCs w:val="28"/>
        </w:rPr>
        <w:t>A</w:t>
      </w:r>
      <w:r w:rsidRPr="00A24157">
        <w:rPr>
          <w:rFonts w:asciiTheme="majorHAnsi" w:hAnsiTheme="majorHAnsi"/>
          <w:b/>
          <w:color w:val="C00000"/>
          <w:sz w:val="28"/>
          <w:szCs w:val="28"/>
        </w:rPr>
        <w:t>ccreditation</w:t>
      </w:r>
    </w:p>
    <w:p w:rsidR="00A24157" w:rsidRDefault="00A24157" w:rsidP="00A24157">
      <w:pPr>
        <w:spacing w:line="360" w:lineRule="auto"/>
        <w:contextualSpacing/>
        <w:rPr>
          <w:rFonts w:asciiTheme="majorHAnsi" w:hAnsiTheme="majorHAnsi"/>
          <w:b/>
          <w:color w:val="C00000"/>
          <w:sz w:val="24"/>
          <w:szCs w:val="24"/>
        </w:rPr>
      </w:pPr>
    </w:p>
    <w:p w:rsidR="000E1464" w:rsidRPr="00A24157" w:rsidRDefault="000E1464" w:rsidP="00A24157">
      <w:pPr>
        <w:spacing w:line="360" w:lineRule="auto"/>
        <w:contextualSpacing/>
        <w:rPr>
          <w:rFonts w:asciiTheme="majorHAnsi" w:hAnsiTheme="majorHAnsi"/>
          <w:b/>
          <w:color w:val="C00000"/>
          <w:sz w:val="24"/>
          <w:szCs w:val="24"/>
        </w:rPr>
      </w:pPr>
      <w:bookmarkStart w:id="0" w:name="_GoBack"/>
      <w:bookmarkEnd w:id="0"/>
      <w:r w:rsidRPr="00A24157">
        <w:rPr>
          <w:rFonts w:asciiTheme="majorHAnsi" w:hAnsiTheme="majorHAnsi"/>
          <w:b/>
          <w:color w:val="C00000"/>
          <w:sz w:val="24"/>
          <w:szCs w:val="24"/>
        </w:rPr>
        <w:t>What is accreditation?</w:t>
      </w:r>
    </w:p>
    <w:p w:rsidR="000E1464" w:rsidRDefault="00B2154B" w:rsidP="00A24157">
      <w:pPr>
        <w:spacing w:line="360" w:lineRule="auto"/>
        <w:contextualSpacing/>
        <w:rPr>
          <w:rStyle w:val="apple-converted-space"/>
          <w:rFonts w:asciiTheme="majorHAnsi" w:hAnsiTheme="majorHAnsi"/>
          <w:color w:val="212121"/>
          <w:shd w:val="clear" w:color="auto" w:fill="FFFFFF"/>
        </w:rPr>
      </w:pPr>
      <w:r w:rsidRPr="00B2154B">
        <w:rPr>
          <w:rFonts w:asciiTheme="majorHAnsi" w:hAnsiTheme="majorHAnsi"/>
          <w:color w:val="212121"/>
          <w:shd w:val="clear" w:color="auto" w:fill="FFFFFF"/>
        </w:rPr>
        <w:t>“</w:t>
      </w:r>
      <w:r w:rsidR="000E1464" w:rsidRPr="00B2154B">
        <w:rPr>
          <w:rFonts w:asciiTheme="majorHAnsi" w:hAnsiTheme="majorHAnsi"/>
          <w:color w:val="212121"/>
          <w:shd w:val="clear" w:color="auto" w:fill="FFFFFF"/>
        </w:rPr>
        <w:t>Accreditation is a voluntary system of self regulation developed to evaluate overall educational quality and institutional effectiveness</w:t>
      </w:r>
      <w:r w:rsidRPr="00B2154B"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.” </w:t>
      </w:r>
      <w:hyperlink r:id="rId5" w:history="1">
        <w:r w:rsidRPr="00B2154B">
          <w:rPr>
            <w:rStyle w:val="Hyperlink"/>
            <w:rFonts w:asciiTheme="majorHAnsi" w:hAnsiTheme="majorHAnsi"/>
            <w:shd w:val="clear" w:color="auto" w:fill="FFFFFF"/>
          </w:rPr>
          <w:t>http://www.accjc.org/</w:t>
        </w:r>
      </w:hyperlink>
    </w:p>
    <w:p w:rsidR="00B2154B" w:rsidRPr="00B2154B" w:rsidRDefault="00B2154B" w:rsidP="00A24157">
      <w:pPr>
        <w:spacing w:line="360" w:lineRule="auto"/>
        <w:contextualSpacing/>
        <w:rPr>
          <w:rStyle w:val="apple-converted-space"/>
          <w:rFonts w:asciiTheme="majorHAnsi" w:hAnsiTheme="majorHAnsi"/>
          <w:color w:val="212121"/>
          <w:shd w:val="clear" w:color="auto" w:fill="FFFFFF"/>
        </w:rPr>
      </w:pPr>
    </w:p>
    <w:p w:rsidR="00B2154B" w:rsidRP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 w:rsidRPr="00B2154B">
        <w:rPr>
          <w:rFonts w:asciiTheme="majorHAnsi" w:hAnsiTheme="majorHAnsi"/>
        </w:rPr>
        <w:t>ACCREDITING COMMISSION FOR COMMUNITY AND JUNIOR COLLEGES (ACCJC)</w:t>
      </w:r>
    </w:p>
    <w:p w:rsidR="00B2154B" w:rsidRP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 w:rsidRPr="00B2154B">
        <w:rPr>
          <w:rFonts w:asciiTheme="majorHAnsi" w:hAnsiTheme="majorHAnsi"/>
        </w:rPr>
        <w:t xml:space="preserve">Western Association of Schools and Colleges </w:t>
      </w:r>
    </w:p>
    <w:p w:rsidR="00B2154B" w:rsidRP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 w:rsidRPr="00B2154B">
        <w:rPr>
          <w:rFonts w:asciiTheme="majorHAnsi" w:hAnsiTheme="majorHAnsi"/>
        </w:rPr>
        <w:t>Accreditation Standards (Adopted June 2014)</w:t>
      </w:r>
    </w:p>
    <w:p w:rsid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</w:p>
    <w:p w:rsidR="000E1464" w:rsidRPr="00B2154B" w:rsidRDefault="000E1464" w:rsidP="00A24157">
      <w:pPr>
        <w:spacing w:line="360" w:lineRule="auto"/>
        <w:contextualSpacing/>
        <w:rPr>
          <w:rFonts w:asciiTheme="majorHAnsi" w:hAnsiTheme="majorHAnsi"/>
        </w:rPr>
      </w:pPr>
      <w:r w:rsidRPr="00B2154B">
        <w:rPr>
          <w:rFonts w:asciiTheme="majorHAnsi" w:hAnsiTheme="majorHAnsi"/>
        </w:rPr>
        <w:t xml:space="preserve">“The primary purpose of an ACCJC–accredited institution is to foster student learning and student </w:t>
      </w:r>
    </w:p>
    <w:p w:rsidR="000E1464" w:rsidRPr="00B2154B" w:rsidRDefault="000E1464" w:rsidP="00A24157">
      <w:pPr>
        <w:spacing w:line="360" w:lineRule="auto"/>
        <w:contextualSpacing/>
        <w:rPr>
          <w:rFonts w:asciiTheme="majorHAnsi" w:hAnsiTheme="majorHAnsi"/>
        </w:rPr>
      </w:pPr>
      <w:r w:rsidRPr="00B2154B">
        <w:rPr>
          <w:rFonts w:asciiTheme="majorHAnsi" w:hAnsiTheme="majorHAnsi"/>
        </w:rPr>
        <w:t xml:space="preserve">achievement. </w:t>
      </w:r>
      <w:r w:rsidR="00B2154B" w:rsidRPr="00B2154B">
        <w:rPr>
          <w:rFonts w:asciiTheme="majorHAnsi" w:hAnsiTheme="majorHAnsi"/>
        </w:rPr>
        <w:t xml:space="preserve"> </w:t>
      </w:r>
      <w:r w:rsidRPr="00B2154B">
        <w:rPr>
          <w:rFonts w:asciiTheme="majorHAnsi" w:hAnsiTheme="majorHAnsi"/>
        </w:rPr>
        <w:t xml:space="preserve">An effective institution ensures that its resources, programs, and services, whenever, wherever, and however delivered, support student learning and achievement. </w:t>
      </w:r>
      <w:r w:rsidR="00B2154B" w:rsidRPr="00B2154B">
        <w:rPr>
          <w:rFonts w:asciiTheme="majorHAnsi" w:hAnsiTheme="majorHAnsi"/>
        </w:rPr>
        <w:t xml:space="preserve"> </w:t>
      </w:r>
      <w:r w:rsidRPr="00B2154B">
        <w:rPr>
          <w:rFonts w:asciiTheme="majorHAnsi" w:hAnsiTheme="majorHAnsi"/>
        </w:rPr>
        <w:t>The effective institution ensures academic quality and continuous improvement through ongoing assessment of learning and achievement and pursues institutional excellence and improvement through ongoing, integrated planning and evaluation.”</w:t>
      </w:r>
      <w:r w:rsidR="00B2154B" w:rsidRPr="00B2154B">
        <w:rPr>
          <w:rFonts w:asciiTheme="majorHAnsi" w:hAnsiTheme="majorHAnsi"/>
        </w:rPr>
        <w:t xml:space="preserve"> (Introduction to the 2014 Standards)</w:t>
      </w:r>
    </w:p>
    <w:p w:rsidR="000E1464" w:rsidRPr="00B2154B" w:rsidRDefault="000E1464" w:rsidP="00A24157">
      <w:pPr>
        <w:spacing w:line="360" w:lineRule="auto"/>
        <w:contextualSpacing/>
        <w:rPr>
          <w:rFonts w:asciiTheme="majorHAnsi" w:hAnsiTheme="majorHAnsi"/>
        </w:rPr>
      </w:pPr>
    </w:p>
    <w:p w:rsidR="00B2154B" w:rsidRPr="00B2154B" w:rsidRDefault="00B2154B" w:rsidP="00A24157">
      <w:pPr>
        <w:spacing w:line="360" w:lineRule="auto"/>
        <w:contextualSpacing/>
        <w:rPr>
          <w:rStyle w:val="apple-converted-space"/>
          <w:rFonts w:asciiTheme="majorHAnsi" w:hAnsiTheme="majorHAnsi"/>
          <w:color w:val="212121"/>
          <w:shd w:val="clear" w:color="auto" w:fill="FFFFFF"/>
        </w:rPr>
      </w:pPr>
      <w:r w:rsidRPr="00B2154B"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No accreditation </w:t>
      </w:r>
      <w:r w:rsidR="00C90626" w:rsidRPr="00C90626">
        <w:rPr>
          <w:rStyle w:val="apple-converted-space"/>
          <w:rFonts w:asciiTheme="majorHAnsi" w:hAnsiTheme="majorHAnsi"/>
          <w:color w:val="212121"/>
          <w:shd w:val="clear" w:color="auto" w:fill="FFFFFF"/>
        </w:rPr>
        <w:sym w:font="Wingdings" w:char="F0E0"/>
      </w:r>
      <w:r w:rsidR="00C90626"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 </w:t>
      </w:r>
      <w:r w:rsidRPr="00B2154B"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 credits don’t transfer</w:t>
      </w:r>
      <w:r w:rsidR="00C90626"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 and </w:t>
      </w:r>
      <w:r>
        <w:rPr>
          <w:rStyle w:val="apple-converted-space"/>
          <w:rFonts w:asciiTheme="majorHAnsi" w:hAnsiTheme="majorHAnsi"/>
          <w:color w:val="212121"/>
          <w:shd w:val="clear" w:color="auto" w:fill="FFFFFF"/>
        </w:rPr>
        <w:t xml:space="preserve">students cannot receive </w:t>
      </w:r>
      <w:r w:rsidRPr="00B2154B">
        <w:rPr>
          <w:rStyle w:val="apple-converted-space"/>
          <w:rFonts w:asciiTheme="majorHAnsi" w:hAnsiTheme="majorHAnsi"/>
          <w:color w:val="212121"/>
          <w:shd w:val="clear" w:color="auto" w:fill="FFFFFF"/>
        </w:rPr>
        <w:t>financial aid</w:t>
      </w:r>
    </w:p>
    <w:p w:rsidR="00B2154B" w:rsidRDefault="00B2154B" w:rsidP="00A24157">
      <w:pPr>
        <w:spacing w:line="360" w:lineRule="auto"/>
        <w:contextualSpacing/>
        <w:rPr>
          <w:rStyle w:val="apple-converted-space"/>
          <w:rFonts w:asciiTheme="majorHAnsi" w:hAnsiTheme="majorHAnsi"/>
          <w:color w:val="212121"/>
          <w:shd w:val="clear" w:color="auto" w:fill="FFFFFF"/>
        </w:rPr>
      </w:pPr>
      <w:r w:rsidRPr="00B2154B">
        <w:rPr>
          <w:rStyle w:val="apple-converted-space"/>
          <w:rFonts w:asciiTheme="majorHAnsi" w:hAnsiTheme="majorHAnsi"/>
          <w:color w:val="212121"/>
          <w:shd w:val="clear" w:color="auto" w:fill="FFFFFF"/>
        </w:rPr>
        <w:t>Colleges must meet standards 24/7.  They are not something we aim for; they are something we meet.</w:t>
      </w:r>
    </w:p>
    <w:p w:rsidR="00A24157" w:rsidRDefault="00A24157" w:rsidP="00A24157">
      <w:pPr>
        <w:spacing w:line="360" w:lineRule="auto"/>
        <w:contextualSpacing/>
        <w:rPr>
          <w:rStyle w:val="apple-converted-space"/>
          <w:rFonts w:asciiTheme="majorHAnsi" w:hAnsiTheme="majorHAnsi"/>
          <w:b/>
          <w:color w:val="C00000"/>
          <w:shd w:val="clear" w:color="auto" w:fill="FFFFFF"/>
        </w:rPr>
      </w:pPr>
    </w:p>
    <w:p w:rsidR="00B2154B" w:rsidRPr="00A24157" w:rsidRDefault="00B2154B" w:rsidP="00A24157">
      <w:pPr>
        <w:spacing w:line="360" w:lineRule="auto"/>
        <w:contextualSpacing/>
        <w:rPr>
          <w:rStyle w:val="apple-converted-space"/>
          <w:rFonts w:asciiTheme="majorHAnsi" w:hAnsiTheme="majorHAnsi"/>
          <w:b/>
          <w:color w:val="C00000"/>
          <w:sz w:val="24"/>
          <w:szCs w:val="24"/>
          <w:shd w:val="clear" w:color="auto" w:fill="FFFFFF"/>
        </w:rPr>
      </w:pPr>
      <w:r w:rsidRPr="00A24157">
        <w:rPr>
          <w:rStyle w:val="apple-converted-space"/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Faculty Responsibility in Accreditation Processes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B2154B">
        <w:rPr>
          <w:rFonts w:asciiTheme="majorHAnsi" w:hAnsiTheme="majorHAnsi" w:cs="Helvetica"/>
          <w:color w:val="574C45"/>
          <w:sz w:val="22"/>
          <w:szCs w:val="22"/>
        </w:rPr>
        <w:t>Education Code Title 5</w:t>
      </w:r>
      <w:r w:rsidR="00B2154B">
        <w:rPr>
          <w:rFonts w:asciiTheme="majorHAnsi" w:hAnsiTheme="majorHAnsi" w:cs="Helvetica"/>
          <w:color w:val="574C45"/>
          <w:sz w:val="22"/>
          <w:szCs w:val="22"/>
        </w:rPr>
        <w:t xml:space="preserve"> 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>SECTION 53200 DEFINITIONS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C90626">
        <w:rPr>
          <w:rFonts w:asciiTheme="majorHAnsi" w:hAnsiTheme="majorHAnsi" w:cs="Helvetica"/>
          <w:b/>
          <w:color w:val="574C45"/>
          <w:sz w:val="22"/>
          <w:szCs w:val="22"/>
        </w:rPr>
        <w:t>Academic Senate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 means an organization whose primary function is to make recommendations with respect to academic and professional matters.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C90626">
        <w:rPr>
          <w:rFonts w:asciiTheme="majorHAnsi" w:hAnsiTheme="majorHAnsi" w:cs="Helvetica"/>
          <w:b/>
          <w:color w:val="574C45"/>
          <w:sz w:val="22"/>
          <w:szCs w:val="22"/>
        </w:rPr>
        <w:t>Academic and Professional matters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 means the following policy development matters: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ind w:left="720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B2154B">
        <w:rPr>
          <w:rFonts w:asciiTheme="majorHAnsi" w:hAnsiTheme="majorHAnsi" w:cs="Helvetica"/>
          <w:color w:val="574C45"/>
          <w:sz w:val="22"/>
          <w:szCs w:val="22"/>
        </w:rPr>
        <w:t>1. Curriculum, including establishing prerequisites.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2. Degree and certificate requirements.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3. Grading policies.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4. Educational program development.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5. Standards or policies regarding student preparation and success.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6. College governance structures, as related to faculty roles.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</w:r>
      <w:r w:rsidRPr="00B2154B">
        <w:rPr>
          <w:rFonts w:asciiTheme="majorHAnsi" w:hAnsiTheme="majorHAnsi" w:cs="Helvetica"/>
          <w:b/>
          <w:color w:val="574C45"/>
          <w:sz w:val="22"/>
          <w:szCs w:val="22"/>
        </w:rPr>
        <w:t>7. Faculty roles and involvement in accreditation processes.</w:t>
      </w:r>
      <w:r w:rsidRPr="00B2154B">
        <w:rPr>
          <w:rFonts w:asciiTheme="majorHAnsi" w:hAnsiTheme="majorHAnsi" w:cs="Helvetica"/>
          <w:b/>
          <w:color w:val="574C45"/>
          <w:sz w:val="22"/>
          <w:szCs w:val="22"/>
        </w:rPr>
        <w:br/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>8. Policies for faculty professional development activities.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9. Processes for program review.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</w:r>
      <w:r w:rsidRPr="00B2154B">
        <w:rPr>
          <w:rFonts w:asciiTheme="majorHAnsi" w:hAnsiTheme="majorHAnsi" w:cs="Helvetica"/>
          <w:color w:val="574C45"/>
          <w:sz w:val="22"/>
          <w:szCs w:val="22"/>
        </w:rPr>
        <w:lastRenderedPageBreak/>
        <w:t>10. Processes for institutional planning and budget development.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>11. Other academic and professional matters as mutually agreed upon.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C90626">
        <w:rPr>
          <w:rFonts w:asciiTheme="majorHAnsi" w:hAnsiTheme="majorHAnsi" w:cs="Helvetica"/>
          <w:b/>
          <w:color w:val="574C45"/>
          <w:sz w:val="22"/>
          <w:szCs w:val="22"/>
        </w:rPr>
        <w:t>Consult Collegially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 means that the district governing board shall develop policies on academic and professional matters through either or both of the following:</w:t>
      </w:r>
    </w:p>
    <w:p w:rsidR="006F273D" w:rsidRPr="00B2154B" w:rsidRDefault="006F273D" w:rsidP="00A24157">
      <w:pPr>
        <w:pStyle w:val="NormalWeb"/>
        <w:spacing w:before="0" w:beforeAutospacing="0" w:after="0" w:afterAutospacing="0" w:line="360" w:lineRule="auto"/>
        <w:contextualSpacing/>
        <w:rPr>
          <w:rFonts w:asciiTheme="majorHAnsi" w:hAnsiTheme="majorHAnsi" w:cs="Helvetica"/>
          <w:color w:val="574C45"/>
          <w:sz w:val="22"/>
          <w:szCs w:val="22"/>
        </w:rPr>
      </w:pP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1. </w:t>
      </w:r>
      <w:r w:rsidRPr="00C90626">
        <w:rPr>
          <w:rFonts w:asciiTheme="majorHAnsi" w:hAnsiTheme="majorHAnsi" w:cs="Helvetica"/>
          <w:b/>
          <w:color w:val="574C45"/>
          <w:sz w:val="22"/>
          <w:szCs w:val="22"/>
        </w:rPr>
        <w:t>Rely primarily upon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 the advice and judgment of the academic senate, OR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br/>
        <w:t xml:space="preserve">2. The governing board, or its designees, and the academic senate shall </w:t>
      </w:r>
      <w:r w:rsidRPr="00C90626">
        <w:rPr>
          <w:rFonts w:asciiTheme="majorHAnsi" w:hAnsiTheme="majorHAnsi" w:cs="Helvetica"/>
          <w:b/>
          <w:color w:val="574C45"/>
          <w:sz w:val="22"/>
          <w:szCs w:val="22"/>
        </w:rPr>
        <w:t>reach mutual agreement</w:t>
      </w:r>
      <w:r w:rsidRPr="00B2154B">
        <w:rPr>
          <w:rFonts w:asciiTheme="majorHAnsi" w:hAnsiTheme="majorHAnsi" w:cs="Helvetica"/>
          <w:color w:val="574C45"/>
          <w:sz w:val="22"/>
          <w:szCs w:val="22"/>
        </w:rPr>
        <w:t xml:space="preserve"> by written resolution, regulation, or policy of the governing board effectuating such recommendations.</w:t>
      </w:r>
    </w:p>
    <w:p w:rsidR="000E1464" w:rsidRPr="00B2154B" w:rsidRDefault="00E91707" w:rsidP="00A24157">
      <w:pPr>
        <w:spacing w:line="360" w:lineRule="auto"/>
        <w:contextualSpacing/>
        <w:rPr>
          <w:rFonts w:asciiTheme="majorHAnsi" w:hAnsiTheme="majorHAnsi"/>
        </w:rPr>
      </w:pPr>
      <w:hyperlink r:id="rId6" w:history="1">
        <w:r w:rsidR="006F273D" w:rsidRPr="00B2154B">
          <w:rPr>
            <w:rStyle w:val="Hyperlink"/>
            <w:rFonts w:asciiTheme="majorHAnsi" w:hAnsiTheme="majorHAnsi"/>
          </w:rPr>
          <w:t>http://www.asccc.org/communities/local-senates/handbook/partI</w:t>
        </w:r>
      </w:hyperlink>
    </w:p>
    <w:p w:rsidR="00A24157" w:rsidRDefault="00A24157" w:rsidP="00A24157">
      <w:pPr>
        <w:spacing w:line="360" w:lineRule="auto"/>
        <w:contextualSpacing/>
        <w:rPr>
          <w:rFonts w:asciiTheme="majorHAnsi" w:hAnsiTheme="majorHAnsi"/>
          <w:b/>
          <w:color w:val="C00000"/>
        </w:rPr>
      </w:pPr>
    </w:p>
    <w:p w:rsidR="00B2154B" w:rsidRPr="00A24157" w:rsidRDefault="00B2154B" w:rsidP="00A24157">
      <w:pPr>
        <w:spacing w:line="360" w:lineRule="auto"/>
        <w:contextualSpacing/>
        <w:rPr>
          <w:rFonts w:asciiTheme="majorHAnsi" w:hAnsiTheme="majorHAnsi"/>
          <w:b/>
          <w:color w:val="C00000"/>
          <w:sz w:val="24"/>
          <w:szCs w:val="24"/>
        </w:rPr>
      </w:pPr>
      <w:r w:rsidRPr="00A24157">
        <w:rPr>
          <w:rFonts w:asciiTheme="majorHAnsi" w:hAnsiTheme="majorHAnsi"/>
          <w:b/>
          <w:color w:val="C00000"/>
          <w:sz w:val="24"/>
          <w:szCs w:val="24"/>
        </w:rPr>
        <w:t>Bakersfield College Timeline</w:t>
      </w:r>
    </w:p>
    <w:p w:rsid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2012 Self Evaluation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2154B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Accreditation Reaffirmed with 8 college and 4 district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recommendations to meet the standards.</w:t>
      </w:r>
    </w:p>
    <w:p w:rsid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2013 Follow Up Report </w:t>
      </w:r>
      <w:r>
        <w:rPr>
          <w:rFonts w:asciiTheme="majorHAnsi" w:hAnsiTheme="majorHAnsi"/>
        </w:rPr>
        <w:tab/>
      </w:r>
      <w:r w:rsidRPr="00B2154B">
        <w:rPr>
          <w:rFonts w:asciiTheme="majorHAnsi" w:hAnsiTheme="majorHAnsi"/>
        </w:rPr>
        <w:sym w:font="Wingdings" w:char="F0E0"/>
      </w:r>
      <w:r w:rsidR="00C9062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Recommendations met; commendation received.</w:t>
      </w:r>
    </w:p>
    <w:p w:rsidR="00B2154B" w:rsidRDefault="00B2154B" w:rsidP="00A24157">
      <w:pPr>
        <w:spacing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2015 Midterm Report </w:t>
      </w:r>
      <w:r w:rsidR="00C90626">
        <w:rPr>
          <w:rFonts w:asciiTheme="majorHAnsi" w:hAnsiTheme="majorHAnsi"/>
        </w:rPr>
        <w:tab/>
      </w:r>
      <w:r w:rsidR="00C90626">
        <w:rPr>
          <w:rFonts w:asciiTheme="majorHAnsi" w:hAnsiTheme="majorHAnsi"/>
        </w:rPr>
        <w:tab/>
      </w:r>
      <w:r w:rsidR="00C90626" w:rsidRPr="00C90626">
        <w:rPr>
          <w:rFonts w:asciiTheme="majorHAnsi" w:hAnsiTheme="majorHAnsi"/>
        </w:rPr>
        <w:sym w:font="Wingdings" w:char="F0E0"/>
      </w:r>
      <w:r w:rsidR="00C90626">
        <w:rPr>
          <w:rFonts w:asciiTheme="majorHAnsi" w:hAnsiTheme="majorHAnsi"/>
        </w:rPr>
        <w:t xml:space="preserve"> We must show that our efforts are systematic and sustainable.</w:t>
      </w:r>
    </w:p>
    <w:p w:rsidR="00A24157" w:rsidRDefault="00A24157" w:rsidP="00A24157">
      <w:pPr>
        <w:spacing w:line="360" w:lineRule="auto"/>
        <w:contextualSpacing/>
        <w:rPr>
          <w:rFonts w:asciiTheme="majorHAnsi" w:hAnsiTheme="majorHAnsi"/>
        </w:rPr>
      </w:pPr>
    </w:p>
    <w:p w:rsidR="00A24157" w:rsidRDefault="00A24157" w:rsidP="00A24157">
      <w:pPr>
        <w:spacing w:line="360" w:lineRule="auto"/>
        <w:contextualSpacing/>
        <w:rPr>
          <w:rFonts w:asciiTheme="majorHAnsi" w:hAnsiTheme="majorHAnsi"/>
        </w:rPr>
      </w:pPr>
    </w:p>
    <w:p w:rsidR="00A24157" w:rsidRPr="00B2154B" w:rsidRDefault="00A24157" w:rsidP="00A24157">
      <w:pPr>
        <w:spacing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Presented to New Faculty, October 15, 2014</w:t>
      </w:r>
    </w:p>
    <w:sectPr w:rsidR="00A24157" w:rsidRPr="00B2154B" w:rsidSect="00EA2101">
      <w:pgSz w:w="12240" w:h="15840"/>
      <w:pgMar w:top="1152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64"/>
    <w:rsid w:val="000E1464"/>
    <w:rsid w:val="00397C4E"/>
    <w:rsid w:val="006F273D"/>
    <w:rsid w:val="00A24157"/>
    <w:rsid w:val="00B2154B"/>
    <w:rsid w:val="00C90626"/>
    <w:rsid w:val="00E91707"/>
    <w:rsid w:val="00EA2101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1464"/>
  </w:style>
  <w:style w:type="character" w:styleId="Hyperlink">
    <w:name w:val="Hyperlink"/>
    <w:basedOn w:val="DefaultParagraphFont"/>
    <w:uiPriority w:val="99"/>
    <w:unhideWhenUsed/>
    <w:rsid w:val="000E14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1464"/>
  </w:style>
  <w:style w:type="character" w:styleId="Hyperlink">
    <w:name w:val="Hyperlink"/>
    <w:basedOn w:val="DefaultParagraphFont"/>
    <w:uiPriority w:val="99"/>
    <w:unhideWhenUsed/>
    <w:rsid w:val="000E14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cc.org/communities/local-senates/handbook/partI" TargetMode="External"/><Relationship Id="rId5" Type="http://schemas.openxmlformats.org/officeDocument/2006/relationships/hyperlink" Target="http://www.accj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2</cp:revision>
  <dcterms:created xsi:type="dcterms:W3CDTF">2014-10-15T21:26:00Z</dcterms:created>
  <dcterms:modified xsi:type="dcterms:W3CDTF">2014-10-15T21:26:00Z</dcterms:modified>
</cp:coreProperties>
</file>