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03" w:rsidRDefault="00BA0303" w:rsidP="00BA0303">
      <w:pPr>
        <w:pStyle w:val="NoSpacing"/>
        <w:jc w:val="center"/>
        <w:rPr>
          <w:b/>
        </w:rPr>
      </w:pPr>
      <w:r w:rsidRPr="00BA0303">
        <w:rPr>
          <w:b/>
        </w:rPr>
        <w:t>Proposal to Address Accrediting Commission Recommendations</w:t>
      </w:r>
    </w:p>
    <w:p w:rsidR="000460A4" w:rsidRPr="00BA0303" w:rsidRDefault="000460A4" w:rsidP="00BA0303">
      <w:pPr>
        <w:pStyle w:val="NoSpacing"/>
        <w:jc w:val="center"/>
        <w:rPr>
          <w:b/>
        </w:rPr>
      </w:pPr>
      <w:bookmarkStart w:id="0" w:name="_GoBack"/>
      <w:bookmarkEnd w:id="0"/>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970"/>
        <w:gridCol w:w="2250"/>
        <w:gridCol w:w="2970"/>
      </w:tblGrid>
      <w:tr w:rsidR="00BA0303" w:rsidRPr="002E4864" w:rsidTr="00060C41">
        <w:tc>
          <w:tcPr>
            <w:tcW w:w="10350" w:type="dxa"/>
            <w:gridSpan w:val="4"/>
          </w:tcPr>
          <w:p w:rsidR="00BA0303" w:rsidRPr="00B4763B" w:rsidRDefault="00BA0303" w:rsidP="00DC5905">
            <w:pPr>
              <w:jc w:val="center"/>
              <w:rPr>
                <w:rFonts w:asciiTheme="minorHAnsi" w:hAnsiTheme="minorHAnsi"/>
                <w:b/>
                <w:sz w:val="20"/>
                <w:szCs w:val="20"/>
              </w:rPr>
            </w:pPr>
            <w:r w:rsidRPr="00B4763B">
              <w:rPr>
                <w:rFonts w:asciiTheme="minorHAnsi" w:hAnsiTheme="minorHAnsi"/>
                <w:b/>
                <w:sz w:val="20"/>
                <w:szCs w:val="20"/>
              </w:rPr>
              <w:t>Oversight Committee</w:t>
            </w:r>
          </w:p>
        </w:tc>
      </w:tr>
      <w:tr w:rsidR="00BA0303" w:rsidRPr="002E4864" w:rsidTr="00060C41">
        <w:tc>
          <w:tcPr>
            <w:tcW w:w="5130" w:type="dxa"/>
            <w:gridSpan w:val="2"/>
          </w:tcPr>
          <w:p w:rsidR="00BA0303" w:rsidRPr="00B4763B" w:rsidRDefault="00BA0303" w:rsidP="00DC5905">
            <w:pPr>
              <w:jc w:val="center"/>
              <w:rPr>
                <w:rFonts w:asciiTheme="minorHAnsi" w:hAnsiTheme="minorHAnsi"/>
                <w:b/>
                <w:sz w:val="20"/>
                <w:szCs w:val="20"/>
              </w:rPr>
            </w:pPr>
            <w:r w:rsidRPr="00B4763B">
              <w:rPr>
                <w:rFonts w:asciiTheme="minorHAnsi" w:hAnsiTheme="minorHAnsi"/>
                <w:b/>
                <w:sz w:val="20"/>
                <w:szCs w:val="20"/>
              </w:rPr>
              <w:t>Accreditation Steering Committee (ASC)</w:t>
            </w:r>
          </w:p>
        </w:tc>
        <w:tc>
          <w:tcPr>
            <w:tcW w:w="5220" w:type="dxa"/>
            <w:gridSpan w:val="2"/>
          </w:tcPr>
          <w:p w:rsidR="00BA0303" w:rsidRPr="00B4763B" w:rsidRDefault="00BA0303" w:rsidP="001C7742">
            <w:pPr>
              <w:jc w:val="center"/>
              <w:rPr>
                <w:rFonts w:asciiTheme="minorHAnsi" w:hAnsiTheme="minorHAnsi"/>
                <w:b/>
                <w:sz w:val="20"/>
                <w:szCs w:val="20"/>
              </w:rPr>
            </w:pPr>
            <w:r w:rsidRPr="00B4763B">
              <w:rPr>
                <w:rFonts w:asciiTheme="minorHAnsi" w:hAnsiTheme="minorHAnsi"/>
                <w:b/>
                <w:sz w:val="20"/>
                <w:szCs w:val="20"/>
              </w:rPr>
              <w:t>Ad</w:t>
            </w:r>
            <w:r w:rsidR="001C7742">
              <w:rPr>
                <w:rFonts w:asciiTheme="minorHAnsi" w:hAnsiTheme="minorHAnsi"/>
                <w:b/>
                <w:sz w:val="20"/>
                <w:szCs w:val="20"/>
              </w:rPr>
              <w:t xml:space="preserve"> Hoc</w:t>
            </w:r>
            <w:r w:rsidRPr="00B4763B">
              <w:rPr>
                <w:rFonts w:asciiTheme="minorHAnsi" w:hAnsiTheme="minorHAnsi"/>
                <w:b/>
                <w:sz w:val="20"/>
                <w:szCs w:val="20"/>
              </w:rPr>
              <w:t xml:space="preserve"> Members</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Nan Gomez-Heitzeberg</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Administrative Co-Chair</w:t>
            </w:r>
          </w:p>
        </w:tc>
        <w:tc>
          <w:tcPr>
            <w:tcW w:w="2250" w:type="dxa"/>
          </w:tcPr>
          <w:p w:rsidR="001C7742" w:rsidRPr="00B4763B" w:rsidRDefault="001C7742" w:rsidP="00DC5905">
            <w:pPr>
              <w:rPr>
                <w:rFonts w:asciiTheme="minorHAnsi" w:hAnsiTheme="minorHAnsi"/>
                <w:sz w:val="20"/>
                <w:szCs w:val="20"/>
              </w:rPr>
            </w:pPr>
            <w:r>
              <w:rPr>
                <w:rFonts w:asciiTheme="minorHAnsi" w:hAnsiTheme="minorHAnsi"/>
                <w:sz w:val="20"/>
                <w:szCs w:val="20"/>
              </w:rPr>
              <w:t>Bonnie Suderman</w:t>
            </w:r>
          </w:p>
        </w:tc>
        <w:tc>
          <w:tcPr>
            <w:tcW w:w="2970" w:type="dxa"/>
          </w:tcPr>
          <w:p w:rsidR="001C7742" w:rsidRPr="00B4763B" w:rsidRDefault="001C7742" w:rsidP="00DC5905">
            <w:pPr>
              <w:rPr>
                <w:rFonts w:asciiTheme="minorHAnsi" w:hAnsiTheme="minorHAnsi"/>
                <w:sz w:val="20"/>
                <w:szCs w:val="20"/>
              </w:rPr>
            </w:pPr>
            <w:r>
              <w:rPr>
                <w:rFonts w:asciiTheme="minorHAnsi" w:hAnsiTheme="minorHAnsi"/>
                <w:sz w:val="20"/>
                <w:szCs w:val="20"/>
              </w:rPr>
              <w:t>Project Director</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Kate Pluta</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Co-Chair</w:t>
            </w:r>
          </w:p>
        </w:tc>
        <w:tc>
          <w:tcPr>
            <w:tcW w:w="225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Sonya Christian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President</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Andrea Garrison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At-Large</w:t>
            </w:r>
          </w:p>
        </w:tc>
        <w:tc>
          <w:tcPr>
            <w:tcW w:w="225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Emmanuel Mourtzanos</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Instruction</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Bernadette Towns</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Assessment Co-Chair</w:t>
            </w:r>
          </w:p>
        </w:tc>
        <w:tc>
          <w:tcPr>
            <w:tcW w:w="225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Leah Carter</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Instruction</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Bonnie Suderman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Instruction</w:t>
            </w:r>
          </w:p>
        </w:tc>
        <w:tc>
          <w:tcPr>
            <w:tcW w:w="225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Jennifer Jett</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Editor</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Darren Willis</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 xml:space="preserve">Faculty, </w:t>
            </w:r>
            <w:smartTag w:uri="urn:schemas-microsoft-com:office:smarttags" w:element="stockticker">
              <w:r w:rsidRPr="00B4763B">
                <w:rPr>
                  <w:rFonts w:asciiTheme="minorHAnsi" w:hAnsiTheme="minorHAnsi"/>
                  <w:sz w:val="20"/>
                  <w:szCs w:val="20"/>
                </w:rPr>
                <w:t>CTE</w:t>
              </w:r>
            </w:smartTag>
          </w:p>
        </w:tc>
        <w:tc>
          <w:tcPr>
            <w:tcW w:w="225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Amber Chiang</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Document Designer/Proofreader</w:t>
            </w: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Joyce Coleman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Student Services</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Kirk Russell</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Library</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Rachel Vickrey</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Basic Skills</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Sue Granger-Dickson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Student Services</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Todd Coston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IT</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William (Bill) Barnes</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Program Review Co-Chair</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Facilities</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Lisa Fitzgerald</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Administration, Research</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Faculty, General Education</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Jennifer Marden</w:t>
            </w: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Classified</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r w:rsidR="001C7742" w:rsidRPr="002E4864" w:rsidTr="00060C41">
        <w:tc>
          <w:tcPr>
            <w:tcW w:w="216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r w:rsidRPr="00B4763B">
              <w:rPr>
                <w:rFonts w:asciiTheme="minorHAnsi" w:hAnsiTheme="minorHAnsi"/>
                <w:sz w:val="20"/>
                <w:szCs w:val="20"/>
              </w:rPr>
              <w:t>Classified</w:t>
            </w:r>
          </w:p>
        </w:tc>
        <w:tc>
          <w:tcPr>
            <w:tcW w:w="2250" w:type="dxa"/>
          </w:tcPr>
          <w:p w:rsidR="001C7742" w:rsidRPr="00B4763B" w:rsidRDefault="001C7742" w:rsidP="00DC5905">
            <w:pPr>
              <w:rPr>
                <w:rFonts w:asciiTheme="minorHAnsi" w:hAnsiTheme="minorHAnsi"/>
                <w:sz w:val="20"/>
                <w:szCs w:val="20"/>
              </w:rPr>
            </w:pPr>
          </w:p>
        </w:tc>
        <w:tc>
          <w:tcPr>
            <w:tcW w:w="2970" w:type="dxa"/>
          </w:tcPr>
          <w:p w:rsidR="001C7742" w:rsidRPr="00B4763B" w:rsidRDefault="001C7742" w:rsidP="00DC5905">
            <w:pPr>
              <w:rPr>
                <w:rFonts w:asciiTheme="minorHAnsi" w:hAnsiTheme="minorHAnsi"/>
                <w:sz w:val="20"/>
                <w:szCs w:val="20"/>
              </w:rPr>
            </w:pPr>
          </w:p>
        </w:tc>
      </w:tr>
    </w:tbl>
    <w:p w:rsidR="000460A4" w:rsidRDefault="000460A4" w:rsidP="00BA0303">
      <w:pPr>
        <w:pStyle w:val="NoSpacing"/>
        <w:jc w:val="center"/>
        <w:rPr>
          <w:b/>
          <w:i/>
          <w:color w:val="FF0000"/>
        </w:rPr>
      </w:pPr>
    </w:p>
    <w:p w:rsidR="00BA0303" w:rsidRDefault="00EC1D28" w:rsidP="00BA0303">
      <w:pPr>
        <w:pStyle w:val="NoSpacing"/>
        <w:jc w:val="center"/>
        <w:rPr>
          <w:b/>
        </w:rPr>
      </w:pPr>
      <w:r>
        <w:rPr>
          <w:b/>
        </w:rPr>
        <w:t>Recommendation Teams</w:t>
      </w:r>
    </w:p>
    <w:tbl>
      <w:tblPr>
        <w:tblStyle w:val="TableGrid"/>
        <w:tblW w:w="10350" w:type="dxa"/>
        <w:tblInd w:w="-252" w:type="dxa"/>
        <w:tblLook w:val="04A0"/>
      </w:tblPr>
      <w:tblGrid>
        <w:gridCol w:w="6840"/>
        <w:gridCol w:w="3510"/>
      </w:tblGrid>
      <w:tr w:rsidR="00BA0303" w:rsidRPr="000460A4" w:rsidTr="001038FE">
        <w:tc>
          <w:tcPr>
            <w:tcW w:w="6840" w:type="dxa"/>
          </w:tcPr>
          <w:p w:rsidR="00BA0303" w:rsidRPr="000460A4" w:rsidRDefault="00BA0303" w:rsidP="00DC5905">
            <w:pPr>
              <w:pStyle w:val="NoSpacing"/>
              <w:rPr>
                <w:b/>
              </w:rPr>
            </w:pPr>
            <w:r w:rsidRPr="000460A4">
              <w:rPr>
                <w:b/>
              </w:rPr>
              <w:t>College Recommendation 1:  Develop and Implement Evaluation Processes to Assess Effectiveness of the Full Range of Planning Processes</w:t>
            </w:r>
          </w:p>
          <w:p w:rsidR="00BA0303" w:rsidRPr="000460A4" w:rsidRDefault="00BA0303" w:rsidP="00DC5905">
            <w:pPr>
              <w:pStyle w:val="NoSpacing"/>
            </w:pPr>
            <w:r w:rsidRPr="000460A4">
              <w:t>In order to comply with Standards, the team recommends that the College develop and implement effective evaluation processes that can be applied to the full range of planning processes developed by the district and the colleges to assure that:</w:t>
            </w:r>
          </w:p>
          <w:p w:rsidR="00BA0303" w:rsidRPr="000460A4" w:rsidRDefault="00BA0303" w:rsidP="00DC5905">
            <w:pPr>
              <w:pStyle w:val="NoSpacing"/>
              <w:numPr>
                <w:ilvl w:val="0"/>
                <w:numId w:val="1"/>
              </w:numPr>
            </w:pPr>
            <w:r w:rsidRPr="000460A4">
              <w:t>Results of student learning assessments and program reviews are systematically linked and integrated into institution-wide planning for improvement and resource allocation processes</w:t>
            </w:r>
          </w:p>
          <w:p w:rsidR="00BA0303" w:rsidRPr="000460A4" w:rsidRDefault="00BA0303" w:rsidP="00DC5905">
            <w:pPr>
              <w:pStyle w:val="NoSpacing"/>
              <w:numPr>
                <w:ilvl w:val="0"/>
                <w:numId w:val="1"/>
              </w:numPr>
            </w:pPr>
            <w:r w:rsidRPr="000460A4">
              <w:t>That the data and measures identified in the new strategic plan are used to identify improvements in student learning and institutional goal attainment</w:t>
            </w:r>
          </w:p>
          <w:p w:rsidR="00BA0303" w:rsidRPr="000460A4" w:rsidRDefault="00BA0303" w:rsidP="00DC5905">
            <w:pPr>
              <w:pStyle w:val="NoSpacing"/>
              <w:numPr>
                <w:ilvl w:val="0"/>
                <w:numId w:val="1"/>
              </w:numPr>
              <w:rPr>
                <w:b/>
              </w:rPr>
            </w:pPr>
            <w:r w:rsidRPr="000460A4">
              <w:t>The functional map defined and agreed upon in 2011 results in effective services being received by the colleges. (I.B.3, I.B.6, I.B.7)</w:t>
            </w:r>
          </w:p>
          <w:p w:rsidR="00445423" w:rsidRPr="000460A4" w:rsidRDefault="00445423" w:rsidP="00445423">
            <w:pPr>
              <w:pStyle w:val="NoSpacing"/>
              <w:rPr>
                <w:b/>
                <w:i/>
              </w:rPr>
            </w:pPr>
            <w:r w:rsidRPr="000460A4">
              <w:rPr>
                <w:b/>
                <w:i/>
              </w:rPr>
              <w:t>(links to Actionable Improvement Plan 1)</w:t>
            </w:r>
          </w:p>
        </w:tc>
        <w:tc>
          <w:tcPr>
            <w:tcW w:w="3510" w:type="dxa"/>
          </w:tcPr>
          <w:p w:rsidR="001038FE" w:rsidRPr="000460A4" w:rsidRDefault="00445423" w:rsidP="00445423">
            <w:pPr>
              <w:pStyle w:val="NoSpacing"/>
              <w:rPr>
                <w:rFonts w:cs="Times New Roman"/>
              </w:rPr>
            </w:pPr>
            <w:r w:rsidRPr="000460A4">
              <w:rPr>
                <w:rFonts w:cs="Times New Roman"/>
              </w:rPr>
              <w:t>*Manny Mourtzanos, administrative</w:t>
            </w:r>
          </w:p>
          <w:p w:rsidR="00445423" w:rsidRPr="000460A4" w:rsidRDefault="001038FE" w:rsidP="00445423">
            <w:pPr>
              <w:pStyle w:val="NoSpacing"/>
              <w:rPr>
                <w:rFonts w:cs="Times New Roman"/>
              </w:rPr>
            </w:pPr>
            <w:r w:rsidRPr="000460A4">
              <w:rPr>
                <w:rFonts w:cs="Times New Roman"/>
              </w:rPr>
              <w:t xml:space="preserve">  </w:t>
            </w:r>
            <w:r w:rsidR="00445423" w:rsidRPr="000460A4">
              <w:rPr>
                <w:rFonts w:cs="Times New Roman"/>
              </w:rPr>
              <w:t xml:space="preserve"> lead</w:t>
            </w:r>
          </w:p>
          <w:p w:rsidR="00445423" w:rsidRPr="000460A4" w:rsidRDefault="00445423" w:rsidP="00445423">
            <w:pPr>
              <w:pStyle w:val="NoSpacing"/>
              <w:rPr>
                <w:rFonts w:cs="Times New Roman"/>
              </w:rPr>
            </w:pPr>
            <w:r w:rsidRPr="000460A4">
              <w:rPr>
                <w:rFonts w:cs="Times New Roman"/>
              </w:rPr>
              <w:t xml:space="preserve">*Kate Pluta, faculty lead </w:t>
            </w:r>
          </w:p>
          <w:p w:rsidR="00BA0303" w:rsidRPr="000460A4" w:rsidRDefault="001038FE" w:rsidP="00DC5905">
            <w:pPr>
              <w:pStyle w:val="NoSpacing"/>
              <w:rPr>
                <w:rFonts w:cs="Times New Roman"/>
              </w:rPr>
            </w:pPr>
            <w:r w:rsidRPr="000460A4">
              <w:rPr>
                <w:rFonts w:cs="Times New Roman"/>
              </w:rPr>
              <w:t xml:space="preserve">  </w:t>
            </w:r>
            <w:r w:rsidR="00BA0303" w:rsidRPr="000460A4">
              <w:rPr>
                <w:rFonts w:cs="Times New Roman"/>
              </w:rPr>
              <w:t xml:space="preserve">Sonya Christian </w:t>
            </w:r>
          </w:p>
          <w:p w:rsidR="00BA0303" w:rsidRPr="000460A4" w:rsidRDefault="001038FE" w:rsidP="00DC5905">
            <w:pPr>
              <w:pStyle w:val="NoSpacing"/>
              <w:rPr>
                <w:rFonts w:cs="Times New Roman"/>
              </w:rPr>
            </w:pPr>
            <w:r w:rsidRPr="000460A4">
              <w:rPr>
                <w:rFonts w:cs="Times New Roman"/>
              </w:rPr>
              <w:t xml:space="preserve">  </w:t>
            </w:r>
            <w:r w:rsidR="00BA0303" w:rsidRPr="000460A4">
              <w:rPr>
                <w:rFonts w:cs="Times New Roman"/>
              </w:rPr>
              <w:t xml:space="preserve">David Koeth </w:t>
            </w:r>
          </w:p>
          <w:p w:rsidR="00BA0303" w:rsidRPr="000460A4" w:rsidRDefault="001038FE" w:rsidP="00DC5905">
            <w:pPr>
              <w:pStyle w:val="NoSpacing"/>
              <w:rPr>
                <w:rFonts w:cs="Times New Roman"/>
              </w:rPr>
            </w:pPr>
            <w:r w:rsidRPr="000460A4">
              <w:rPr>
                <w:rFonts w:cs="Times New Roman"/>
              </w:rPr>
              <w:t xml:space="preserve">  </w:t>
            </w:r>
            <w:r w:rsidR="00BA0303" w:rsidRPr="000460A4">
              <w:rPr>
                <w:rFonts w:cs="Times New Roman"/>
              </w:rPr>
              <w:t xml:space="preserve">Jennifer Marden </w:t>
            </w:r>
          </w:p>
          <w:p w:rsidR="00BA0303" w:rsidRPr="000460A4" w:rsidRDefault="001038FE" w:rsidP="004A1A78">
            <w:pPr>
              <w:pStyle w:val="NoSpacing"/>
              <w:rPr>
                <w:rFonts w:cs="Times New Roman"/>
              </w:rPr>
            </w:pPr>
            <w:r w:rsidRPr="000460A4">
              <w:rPr>
                <w:rFonts w:cs="Times New Roman"/>
              </w:rPr>
              <w:t xml:space="preserve">  </w:t>
            </w:r>
            <w:r w:rsidR="00BA0303" w:rsidRPr="000460A4">
              <w:rPr>
                <w:rFonts w:cs="Times New Roman"/>
              </w:rPr>
              <w:t>Lisa Fitzgerald</w:t>
            </w:r>
            <w:r w:rsidR="004A1A78" w:rsidRPr="000460A4">
              <w:rPr>
                <w:rFonts w:cs="Times New Roman"/>
              </w:rPr>
              <w:t xml:space="preserve"> (research)</w:t>
            </w:r>
          </w:p>
          <w:p w:rsidR="00BA0303" w:rsidRPr="000460A4" w:rsidRDefault="001038FE" w:rsidP="00DC5905">
            <w:pPr>
              <w:pStyle w:val="NoSpacing"/>
              <w:rPr>
                <w:rFonts w:cs="Times New Roman"/>
              </w:rPr>
            </w:pPr>
            <w:r w:rsidRPr="000460A4">
              <w:rPr>
                <w:rFonts w:cs="Times New Roman"/>
              </w:rPr>
              <w:t xml:space="preserve">  </w:t>
            </w:r>
            <w:r w:rsidR="00BA0303" w:rsidRPr="000460A4">
              <w:rPr>
                <w:rFonts w:cs="Times New Roman"/>
              </w:rPr>
              <w:t xml:space="preserve">Amber Chiang </w:t>
            </w:r>
          </w:p>
          <w:p w:rsidR="00445423" w:rsidRPr="000460A4" w:rsidRDefault="00445423" w:rsidP="00DC5905">
            <w:pPr>
              <w:pStyle w:val="NoSpacing"/>
              <w:rPr>
                <w:rFonts w:cs="Times New Roman"/>
                <w:i/>
              </w:rPr>
            </w:pPr>
            <w:r w:rsidRPr="000460A4">
              <w:rPr>
                <w:rFonts w:cs="Times New Roman"/>
                <w:i/>
              </w:rPr>
              <w:t>Curriculum Committee</w:t>
            </w:r>
          </w:p>
          <w:p w:rsidR="00445423" w:rsidRPr="000460A4" w:rsidRDefault="00445423" w:rsidP="00DC5905">
            <w:pPr>
              <w:pStyle w:val="NoSpacing"/>
              <w:rPr>
                <w:rFonts w:cs="Times New Roman"/>
                <w:i/>
              </w:rPr>
            </w:pPr>
            <w:r w:rsidRPr="000460A4">
              <w:rPr>
                <w:rFonts w:cs="Times New Roman"/>
                <w:i/>
              </w:rPr>
              <w:t>Program Review Committee</w:t>
            </w:r>
          </w:p>
          <w:p w:rsidR="00BA0303" w:rsidRPr="000460A4" w:rsidRDefault="00BA0303" w:rsidP="00DC5905">
            <w:pPr>
              <w:pStyle w:val="NoSpacing"/>
              <w:rPr>
                <w:i/>
              </w:rPr>
            </w:pPr>
          </w:p>
          <w:p w:rsidR="004A1A78" w:rsidRPr="000460A4" w:rsidRDefault="004A1A78" w:rsidP="00DC5905">
            <w:pPr>
              <w:pStyle w:val="NoSpacing"/>
            </w:pPr>
          </w:p>
          <w:p w:rsidR="004A1A78" w:rsidRPr="000460A4" w:rsidRDefault="004A1A78" w:rsidP="00DC5905">
            <w:pPr>
              <w:pStyle w:val="NoSpacing"/>
            </w:pPr>
          </w:p>
          <w:p w:rsidR="004A1A78" w:rsidRPr="000460A4" w:rsidRDefault="004A1A78" w:rsidP="00DC5905">
            <w:pPr>
              <w:pStyle w:val="NoSpacing"/>
              <w:rPr>
                <w:b/>
              </w:rPr>
            </w:pPr>
            <w:r w:rsidRPr="000460A4">
              <w:t>*College Council focus</w:t>
            </w:r>
          </w:p>
        </w:tc>
      </w:tr>
      <w:tr w:rsidR="00BA0303" w:rsidRPr="000460A4" w:rsidTr="001038FE">
        <w:tc>
          <w:tcPr>
            <w:tcW w:w="6840" w:type="dxa"/>
          </w:tcPr>
          <w:p w:rsidR="00BA0303" w:rsidRPr="000460A4" w:rsidRDefault="00BA0303" w:rsidP="00DC5905">
            <w:pPr>
              <w:pStyle w:val="NoSpacing"/>
              <w:rPr>
                <w:rFonts w:cs="Times New Roman"/>
                <w:b/>
              </w:rPr>
            </w:pPr>
            <w:r w:rsidRPr="000460A4">
              <w:rPr>
                <w:rFonts w:cs="Times New Roman"/>
                <w:b/>
              </w:rPr>
              <w:t>College Recommendation 2:  Establish Student Learning Outcomes for Instructional/Academic Programs</w:t>
            </w:r>
          </w:p>
          <w:p w:rsidR="00BA0303" w:rsidRPr="000460A4" w:rsidRDefault="00BA0303" w:rsidP="00DC5905">
            <w:pPr>
              <w:pStyle w:val="NoSpacing"/>
              <w:rPr>
                <w:b/>
              </w:rPr>
            </w:pPr>
            <w:r w:rsidRPr="000460A4">
              <w:rPr>
                <w:rFonts w:cs="Times New Roman"/>
              </w:rPr>
              <w:t>In order to comply with the Standards and to meet the proficiency level of institutional effectiveness for student learning outcomes, the College should establish learning outcomes for each certificate and degree program, conduct authentic assessment for student learning outcomes at the certificate/program and degree levels, and utilize the results of assessment in the decision-making and planning process to support and improve student learning.  (ER 10, II.A.1.c, II.A.2.f)</w:t>
            </w:r>
          </w:p>
        </w:tc>
        <w:tc>
          <w:tcPr>
            <w:tcW w:w="3510" w:type="dxa"/>
          </w:tcPr>
          <w:p w:rsidR="001038FE" w:rsidRPr="000460A4" w:rsidRDefault="00445423" w:rsidP="00DC5905">
            <w:pPr>
              <w:rPr>
                <w:rFonts w:asciiTheme="minorHAnsi" w:hAnsiTheme="minorHAnsi"/>
              </w:rPr>
            </w:pPr>
            <w:r w:rsidRPr="000460A4">
              <w:rPr>
                <w:rFonts w:asciiTheme="minorHAnsi" w:hAnsiTheme="minorHAnsi"/>
              </w:rPr>
              <w:t xml:space="preserve">*Bonnie Suderman, administrative </w:t>
            </w:r>
          </w:p>
          <w:p w:rsidR="00BA0303" w:rsidRPr="000460A4" w:rsidRDefault="001038FE" w:rsidP="00DC5905">
            <w:pPr>
              <w:rPr>
                <w:rFonts w:asciiTheme="minorHAnsi" w:hAnsiTheme="minorHAnsi"/>
              </w:rPr>
            </w:pPr>
            <w:r w:rsidRPr="000460A4">
              <w:rPr>
                <w:rFonts w:asciiTheme="minorHAnsi" w:hAnsiTheme="minorHAnsi"/>
              </w:rPr>
              <w:t xml:space="preserve">   </w:t>
            </w:r>
            <w:r w:rsidR="00445423" w:rsidRPr="000460A4">
              <w:rPr>
                <w:rFonts w:asciiTheme="minorHAnsi" w:hAnsiTheme="minorHAnsi"/>
              </w:rPr>
              <w:t>lead</w:t>
            </w:r>
          </w:p>
          <w:p w:rsidR="00BA0303" w:rsidRPr="000460A4" w:rsidRDefault="00445423" w:rsidP="00DC5905">
            <w:pPr>
              <w:rPr>
                <w:rFonts w:asciiTheme="minorHAnsi" w:hAnsiTheme="minorHAnsi"/>
              </w:rPr>
            </w:pPr>
            <w:r w:rsidRPr="000460A4">
              <w:rPr>
                <w:rFonts w:asciiTheme="minorHAnsi" w:hAnsiTheme="minorHAnsi"/>
              </w:rPr>
              <w:t>*</w:t>
            </w:r>
            <w:r w:rsidR="00BA0303" w:rsidRPr="000460A4">
              <w:rPr>
                <w:rFonts w:asciiTheme="minorHAnsi" w:hAnsiTheme="minorHAnsi"/>
              </w:rPr>
              <w:t>Bernadette Towns</w:t>
            </w:r>
            <w:r w:rsidRPr="000460A4">
              <w:rPr>
                <w:rFonts w:asciiTheme="minorHAnsi" w:hAnsiTheme="minorHAnsi"/>
              </w:rPr>
              <w:t>, faculty lead</w:t>
            </w:r>
          </w:p>
          <w:p w:rsidR="00B4763B" w:rsidRPr="000460A4" w:rsidRDefault="00B4763B" w:rsidP="00DC5905">
            <w:pPr>
              <w:rPr>
                <w:rFonts w:asciiTheme="minorHAnsi" w:hAnsiTheme="minorHAnsi"/>
                <w:i/>
              </w:rPr>
            </w:pPr>
            <w:r w:rsidRPr="000460A4">
              <w:rPr>
                <w:rFonts w:asciiTheme="minorHAnsi" w:hAnsiTheme="minorHAnsi"/>
                <w:i/>
              </w:rPr>
              <w:t>Assessment Committee</w:t>
            </w:r>
          </w:p>
          <w:p w:rsidR="00B4763B" w:rsidRPr="000460A4" w:rsidRDefault="00B4763B" w:rsidP="00DC5905">
            <w:pPr>
              <w:rPr>
                <w:rFonts w:asciiTheme="minorHAnsi" w:hAnsiTheme="minorHAnsi"/>
                <w:i/>
              </w:rPr>
            </w:pPr>
            <w:r w:rsidRPr="000460A4">
              <w:rPr>
                <w:rFonts w:asciiTheme="minorHAnsi" w:hAnsiTheme="minorHAnsi"/>
                <w:i/>
              </w:rPr>
              <w:t>Curriculum Committee</w:t>
            </w:r>
          </w:p>
          <w:p w:rsidR="00BA0303" w:rsidRPr="000460A4" w:rsidRDefault="002D4BC6" w:rsidP="00EE525C">
            <w:pPr>
              <w:rPr>
                <w:rFonts w:asciiTheme="minorHAnsi" w:hAnsiTheme="minorHAnsi"/>
                <w:b/>
              </w:rPr>
            </w:pPr>
            <w:r w:rsidRPr="000460A4">
              <w:rPr>
                <w:rFonts w:asciiTheme="minorHAnsi" w:hAnsiTheme="minorHAnsi"/>
                <w:i/>
              </w:rPr>
              <w:t>FCDC (</w:t>
            </w:r>
            <w:r w:rsidR="004A1A78" w:rsidRPr="000460A4">
              <w:rPr>
                <w:rFonts w:asciiTheme="minorHAnsi" w:hAnsiTheme="minorHAnsi"/>
                <w:i/>
              </w:rPr>
              <w:t>F</w:t>
            </w:r>
            <w:r w:rsidRPr="000460A4">
              <w:rPr>
                <w:rFonts w:asciiTheme="minorHAnsi" w:hAnsiTheme="minorHAnsi"/>
                <w:i/>
              </w:rPr>
              <w:t xml:space="preserve">aculty </w:t>
            </w:r>
            <w:r w:rsidR="004A1A78" w:rsidRPr="000460A4">
              <w:rPr>
                <w:rFonts w:asciiTheme="minorHAnsi" w:hAnsiTheme="minorHAnsi"/>
                <w:i/>
              </w:rPr>
              <w:t>C</w:t>
            </w:r>
            <w:r w:rsidRPr="000460A4">
              <w:rPr>
                <w:rFonts w:asciiTheme="minorHAnsi" w:hAnsiTheme="minorHAnsi"/>
                <w:i/>
              </w:rPr>
              <w:t xml:space="preserve">hairs and </w:t>
            </w:r>
            <w:r w:rsidR="004A1A78" w:rsidRPr="000460A4">
              <w:rPr>
                <w:rFonts w:asciiTheme="minorHAnsi" w:hAnsiTheme="minorHAnsi"/>
                <w:i/>
              </w:rPr>
              <w:t>D</w:t>
            </w:r>
            <w:r w:rsidRPr="000460A4">
              <w:rPr>
                <w:rFonts w:asciiTheme="minorHAnsi" w:hAnsiTheme="minorHAnsi"/>
                <w:i/>
              </w:rPr>
              <w:t xml:space="preserve">irectors </w:t>
            </w:r>
            <w:r w:rsidR="004A1A78" w:rsidRPr="000460A4">
              <w:rPr>
                <w:rFonts w:asciiTheme="minorHAnsi" w:hAnsiTheme="minorHAnsi"/>
                <w:i/>
              </w:rPr>
              <w:t>C</w:t>
            </w:r>
            <w:r w:rsidRPr="000460A4">
              <w:rPr>
                <w:rFonts w:asciiTheme="minorHAnsi" w:hAnsiTheme="minorHAnsi"/>
                <w:i/>
              </w:rPr>
              <w:t>ouncil)</w:t>
            </w:r>
          </w:p>
        </w:tc>
      </w:tr>
      <w:tr w:rsidR="00BA0303" w:rsidRPr="000460A4" w:rsidTr="001038FE">
        <w:tc>
          <w:tcPr>
            <w:tcW w:w="6840" w:type="dxa"/>
          </w:tcPr>
          <w:p w:rsidR="00BA0303" w:rsidRPr="000460A4" w:rsidRDefault="00BA0303" w:rsidP="00DC5905">
            <w:pPr>
              <w:rPr>
                <w:rFonts w:asciiTheme="minorHAnsi" w:hAnsiTheme="minorHAnsi"/>
                <w:b/>
              </w:rPr>
            </w:pPr>
            <w:r w:rsidRPr="000460A4">
              <w:rPr>
                <w:rFonts w:asciiTheme="minorHAnsi" w:hAnsiTheme="minorHAnsi"/>
                <w:b/>
              </w:rPr>
              <w:t>College Recommendation 3:  Include comments on how effectively adjunct faculty members produce student learning outcomes</w:t>
            </w:r>
          </w:p>
          <w:p w:rsidR="00BA0303" w:rsidRPr="000460A4" w:rsidRDefault="00BA0303" w:rsidP="00DC5905">
            <w:pPr>
              <w:rPr>
                <w:rFonts w:asciiTheme="minorHAnsi" w:hAnsiTheme="minorHAnsi"/>
                <w:b/>
              </w:rPr>
            </w:pPr>
            <w:r w:rsidRPr="000460A4">
              <w:rPr>
                <w:rFonts w:asciiTheme="minorHAnsi" w:hAnsiTheme="minorHAnsi"/>
              </w:rPr>
              <w:t xml:space="preserve">In order to meet the Standards, the team recommends that adjunct faculty have as a requirement of their evaluation a component that addresses their effectiveness in producing student learning outcomes.  </w:t>
            </w:r>
            <w:r w:rsidRPr="000460A4">
              <w:rPr>
                <w:rFonts w:asciiTheme="minorHAnsi" w:hAnsiTheme="minorHAnsi"/>
              </w:rPr>
              <w:lastRenderedPageBreak/>
              <w:t>(III.A.1.c.)</w:t>
            </w:r>
          </w:p>
        </w:tc>
        <w:tc>
          <w:tcPr>
            <w:tcW w:w="3510" w:type="dxa"/>
          </w:tcPr>
          <w:p w:rsidR="00BA0303" w:rsidRPr="000460A4" w:rsidRDefault="00445423" w:rsidP="00DC5905">
            <w:pPr>
              <w:pStyle w:val="NoSpacing"/>
            </w:pPr>
            <w:r w:rsidRPr="000460A4">
              <w:lastRenderedPageBreak/>
              <w:t>*</w:t>
            </w:r>
            <w:r w:rsidR="00BA0303" w:rsidRPr="000460A4">
              <w:t>Leah Carter</w:t>
            </w:r>
            <w:r w:rsidRPr="000460A4">
              <w:t>, administrative lead</w:t>
            </w:r>
          </w:p>
          <w:p w:rsidR="00BA0303" w:rsidRPr="000460A4" w:rsidRDefault="00445423" w:rsidP="00DC5905">
            <w:pPr>
              <w:pStyle w:val="NoSpacing"/>
              <w:rPr>
                <w:rFonts w:cs="Times New Roman"/>
              </w:rPr>
            </w:pPr>
            <w:r w:rsidRPr="000460A4">
              <w:rPr>
                <w:rFonts w:cs="Times New Roman"/>
              </w:rPr>
              <w:t>*</w:t>
            </w:r>
            <w:r w:rsidR="00BA0303" w:rsidRPr="000460A4">
              <w:rPr>
                <w:rFonts w:cs="Times New Roman"/>
              </w:rPr>
              <w:t>Lynn Krausse</w:t>
            </w:r>
            <w:r w:rsidRPr="000460A4">
              <w:rPr>
                <w:rFonts w:cs="Times New Roman"/>
              </w:rPr>
              <w:t>, faculty lead</w:t>
            </w:r>
          </w:p>
          <w:p w:rsidR="001C7742" w:rsidRPr="000460A4" w:rsidRDefault="001C7742" w:rsidP="00DC5905">
            <w:pPr>
              <w:pStyle w:val="NoSpacing"/>
              <w:rPr>
                <w:rFonts w:cs="Times New Roman"/>
              </w:rPr>
            </w:pPr>
            <w:r w:rsidRPr="000460A4">
              <w:rPr>
                <w:rFonts w:cs="Times New Roman"/>
              </w:rPr>
              <w:t xml:space="preserve">  Andrea Garrison</w:t>
            </w:r>
          </w:p>
          <w:p w:rsidR="00445423" w:rsidRPr="000460A4" w:rsidRDefault="001038FE" w:rsidP="00DC5905">
            <w:pPr>
              <w:pStyle w:val="NoSpacing"/>
              <w:rPr>
                <w:b/>
              </w:rPr>
            </w:pPr>
            <w:r w:rsidRPr="000460A4">
              <w:rPr>
                <w:rFonts w:cs="Times New Roman"/>
              </w:rPr>
              <w:t xml:space="preserve">  </w:t>
            </w:r>
            <w:r w:rsidR="00445423" w:rsidRPr="000460A4">
              <w:rPr>
                <w:rFonts w:cs="Times New Roman"/>
              </w:rPr>
              <w:t>Abe Ali</w:t>
            </w:r>
          </w:p>
        </w:tc>
      </w:tr>
      <w:tr w:rsidR="00BA0303" w:rsidRPr="000460A4" w:rsidTr="001038FE">
        <w:tc>
          <w:tcPr>
            <w:tcW w:w="6840" w:type="dxa"/>
          </w:tcPr>
          <w:p w:rsidR="00BA0303" w:rsidRPr="000460A4" w:rsidRDefault="00BA0303" w:rsidP="00DC5905">
            <w:pPr>
              <w:rPr>
                <w:rFonts w:asciiTheme="minorHAnsi" w:hAnsiTheme="minorHAnsi"/>
                <w:b/>
              </w:rPr>
            </w:pPr>
            <w:r w:rsidRPr="000460A4">
              <w:rPr>
                <w:rFonts w:asciiTheme="minorHAnsi" w:hAnsiTheme="minorHAnsi"/>
                <w:b/>
              </w:rPr>
              <w:lastRenderedPageBreak/>
              <w:t>College Recommendation 4:  Evaluate effectiveness of professional development programs</w:t>
            </w:r>
          </w:p>
          <w:p w:rsidR="00BA0303" w:rsidRPr="000460A4" w:rsidRDefault="00BA0303" w:rsidP="00DC5905">
            <w:pPr>
              <w:rPr>
                <w:rFonts w:asciiTheme="minorHAnsi" w:hAnsiTheme="minorHAnsi"/>
              </w:rPr>
            </w:pPr>
            <w:r w:rsidRPr="000460A4">
              <w:rPr>
                <w:rFonts w:asciiTheme="minorHAnsi" w:hAnsiTheme="minorHAnsi"/>
              </w:rPr>
              <w:t>In order to meet the Standards, the College should systematically evaluate the professional development programs offered to employees and use the results of the evaluation as a basis for improvement.  (III.A.5.b)</w:t>
            </w:r>
          </w:p>
        </w:tc>
        <w:tc>
          <w:tcPr>
            <w:tcW w:w="3510" w:type="dxa"/>
          </w:tcPr>
          <w:p w:rsidR="001038FE" w:rsidRPr="000460A4" w:rsidRDefault="00445423" w:rsidP="00DC5905">
            <w:pPr>
              <w:rPr>
                <w:rFonts w:asciiTheme="minorHAnsi" w:hAnsiTheme="minorHAnsi"/>
              </w:rPr>
            </w:pPr>
            <w:r w:rsidRPr="000460A4">
              <w:rPr>
                <w:rFonts w:asciiTheme="minorHAnsi" w:hAnsiTheme="minorHAnsi"/>
              </w:rPr>
              <w:t>*</w:t>
            </w:r>
            <w:r w:rsidR="00423489" w:rsidRPr="000460A4">
              <w:rPr>
                <w:rFonts w:asciiTheme="minorHAnsi" w:hAnsiTheme="minorHAnsi"/>
              </w:rPr>
              <w:t>Primavera Arvizu</w:t>
            </w:r>
            <w:r w:rsidRPr="000460A4">
              <w:rPr>
                <w:rFonts w:asciiTheme="minorHAnsi" w:hAnsiTheme="minorHAnsi"/>
              </w:rPr>
              <w:t xml:space="preserve">, administrative </w:t>
            </w:r>
          </w:p>
          <w:p w:rsidR="00BA0303" w:rsidRPr="000460A4" w:rsidRDefault="001038FE" w:rsidP="00DC5905">
            <w:pPr>
              <w:rPr>
                <w:rFonts w:asciiTheme="minorHAnsi" w:hAnsiTheme="minorHAnsi"/>
              </w:rPr>
            </w:pPr>
            <w:r w:rsidRPr="000460A4">
              <w:rPr>
                <w:rFonts w:asciiTheme="minorHAnsi" w:hAnsiTheme="minorHAnsi"/>
              </w:rPr>
              <w:t xml:space="preserve">  </w:t>
            </w:r>
            <w:r w:rsidR="00445423" w:rsidRPr="000460A4">
              <w:rPr>
                <w:rFonts w:asciiTheme="minorHAnsi" w:hAnsiTheme="minorHAnsi"/>
              </w:rPr>
              <w:t>lead</w:t>
            </w:r>
          </w:p>
          <w:p w:rsidR="00BA0303" w:rsidRPr="000460A4" w:rsidRDefault="00445423" w:rsidP="00DC5905">
            <w:pPr>
              <w:rPr>
                <w:rFonts w:asciiTheme="minorHAnsi" w:hAnsiTheme="minorHAnsi"/>
              </w:rPr>
            </w:pPr>
            <w:r w:rsidRPr="000460A4">
              <w:rPr>
                <w:rFonts w:asciiTheme="minorHAnsi" w:hAnsiTheme="minorHAnsi"/>
              </w:rPr>
              <w:t>*</w:t>
            </w:r>
            <w:r w:rsidR="00BA0303" w:rsidRPr="000460A4">
              <w:rPr>
                <w:rFonts w:asciiTheme="minorHAnsi" w:hAnsiTheme="minorHAnsi"/>
              </w:rPr>
              <w:t>Kimberly Hurd</w:t>
            </w:r>
            <w:r w:rsidRPr="000460A4">
              <w:rPr>
                <w:rFonts w:asciiTheme="minorHAnsi" w:hAnsiTheme="minorHAnsi"/>
              </w:rPr>
              <w:t>, faculty lead</w:t>
            </w:r>
          </w:p>
          <w:p w:rsidR="00BA0303" w:rsidRPr="000460A4" w:rsidRDefault="00445423" w:rsidP="00DC5905">
            <w:pPr>
              <w:rPr>
                <w:rFonts w:asciiTheme="minorHAnsi" w:hAnsiTheme="minorHAnsi"/>
              </w:rPr>
            </w:pPr>
            <w:r w:rsidRPr="000460A4">
              <w:rPr>
                <w:rFonts w:asciiTheme="minorHAnsi" w:hAnsiTheme="minorHAnsi"/>
              </w:rPr>
              <w:t>*</w:t>
            </w:r>
            <w:r w:rsidR="00423489" w:rsidRPr="000460A4">
              <w:rPr>
                <w:rFonts w:asciiTheme="minorHAnsi" w:hAnsiTheme="minorHAnsi"/>
              </w:rPr>
              <w:t>Candi</w:t>
            </w:r>
            <w:r w:rsidR="00BA0303" w:rsidRPr="000460A4">
              <w:rPr>
                <w:rFonts w:asciiTheme="minorHAnsi" w:hAnsiTheme="minorHAnsi"/>
              </w:rPr>
              <w:t>ce Sifuentes</w:t>
            </w:r>
            <w:r w:rsidRPr="000460A4">
              <w:rPr>
                <w:rFonts w:asciiTheme="minorHAnsi" w:hAnsiTheme="minorHAnsi"/>
              </w:rPr>
              <w:t>, classified lead</w:t>
            </w:r>
          </w:p>
          <w:p w:rsidR="00445423" w:rsidRPr="000460A4" w:rsidRDefault="001038FE" w:rsidP="00445423">
            <w:pPr>
              <w:rPr>
                <w:rFonts w:asciiTheme="minorHAnsi" w:hAnsiTheme="minorHAnsi"/>
              </w:rPr>
            </w:pPr>
            <w:r w:rsidRPr="000460A4">
              <w:rPr>
                <w:rFonts w:asciiTheme="minorHAnsi" w:hAnsiTheme="minorHAnsi"/>
              </w:rPr>
              <w:t xml:space="preserve">  </w:t>
            </w:r>
            <w:r w:rsidR="00445423" w:rsidRPr="000460A4">
              <w:rPr>
                <w:rFonts w:asciiTheme="minorHAnsi" w:hAnsiTheme="minorHAnsi"/>
              </w:rPr>
              <w:t>Bonnie Suderman</w:t>
            </w:r>
          </w:p>
          <w:p w:rsidR="00445423" w:rsidRPr="000460A4" w:rsidRDefault="001038FE" w:rsidP="00DC5905">
            <w:pPr>
              <w:rPr>
                <w:rFonts w:asciiTheme="minorHAnsi" w:hAnsiTheme="minorHAnsi"/>
              </w:rPr>
            </w:pPr>
            <w:r w:rsidRPr="000460A4">
              <w:rPr>
                <w:rFonts w:asciiTheme="minorHAnsi" w:hAnsiTheme="minorHAnsi"/>
              </w:rPr>
              <w:t xml:space="preserve">  </w:t>
            </w:r>
            <w:r w:rsidR="00445423" w:rsidRPr="000460A4">
              <w:rPr>
                <w:rFonts w:asciiTheme="minorHAnsi" w:hAnsiTheme="minorHAnsi"/>
              </w:rPr>
              <w:t>Lisa Fitzgerald (research)</w:t>
            </w:r>
          </w:p>
          <w:p w:rsidR="00BA0303" w:rsidRPr="000460A4" w:rsidRDefault="002D4BC6" w:rsidP="00991F29">
            <w:pPr>
              <w:rPr>
                <w:rFonts w:asciiTheme="minorHAnsi" w:hAnsiTheme="minorHAnsi"/>
              </w:rPr>
            </w:pPr>
            <w:r w:rsidRPr="000460A4">
              <w:rPr>
                <w:rFonts w:asciiTheme="minorHAnsi" w:hAnsiTheme="minorHAnsi"/>
                <w:i/>
              </w:rPr>
              <w:t>SDCC (</w:t>
            </w:r>
            <w:r w:rsidR="00EC1D28" w:rsidRPr="000460A4">
              <w:rPr>
                <w:rFonts w:asciiTheme="minorHAnsi" w:hAnsiTheme="minorHAnsi"/>
                <w:i/>
              </w:rPr>
              <w:t>Staff Development Co</w:t>
            </w:r>
            <w:r w:rsidR="00991F29" w:rsidRPr="000460A4">
              <w:rPr>
                <w:rFonts w:asciiTheme="minorHAnsi" w:hAnsiTheme="minorHAnsi"/>
                <w:i/>
              </w:rPr>
              <w:t>ordinating Council</w:t>
            </w:r>
            <w:r w:rsidRPr="000460A4">
              <w:rPr>
                <w:rFonts w:asciiTheme="minorHAnsi" w:hAnsiTheme="minorHAnsi"/>
                <w:i/>
              </w:rPr>
              <w:t>)</w:t>
            </w:r>
          </w:p>
        </w:tc>
      </w:tr>
      <w:tr w:rsidR="00BA0303" w:rsidRPr="000460A4" w:rsidTr="001038FE">
        <w:tc>
          <w:tcPr>
            <w:tcW w:w="6840" w:type="dxa"/>
          </w:tcPr>
          <w:p w:rsidR="00BA0303" w:rsidRPr="000460A4" w:rsidRDefault="00BA0303" w:rsidP="00DC5905">
            <w:pPr>
              <w:rPr>
                <w:rFonts w:asciiTheme="minorHAnsi" w:hAnsiTheme="minorHAnsi"/>
                <w:b/>
              </w:rPr>
            </w:pPr>
            <w:r w:rsidRPr="000460A4">
              <w:rPr>
                <w:rFonts w:asciiTheme="minorHAnsi" w:hAnsiTheme="minorHAnsi"/>
                <w:b/>
              </w:rPr>
              <w:t>College Recommendation 5:  Human Resources should complete a program review</w:t>
            </w:r>
          </w:p>
          <w:p w:rsidR="00BA0303" w:rsidRPr="000460A4" w:rsidRDefault="00BA0303" w:rsidP="00DC5905">
            <w:pPr>
              <w:rPr>
                <w:rFonts w:asciiTheme="minorHAnsi" w:hAnsiTheme="minorHAnsi"/>
              </w:rPr>
            </w:pPr>
            <w:r w:rsidRPr="000460A4">
              <w:rPr>
                <w:rFonts w:asciiTheme="minorHAnsi" w:hAnsiTheme="minorHAnsi"/>
              </w:rPr>
              <w:t>In order to meet the Standards, the team recommends that the College human resources department complete a comprehensive review of services to include the following:  regularly assess its record in employment equity and diversity, conduct an annual review of services; clarify and publish the roles and functions of human resources personnel; survey employees to determine effectiveness of human resources at the college, and; survey screening committee members to determine effectiveness of hiring processes.  (III.A.3, III.A.3.a, III.A.4, III.A.4.b, III.A.4.c, III.A.6)</w:t>
            </w:r>
          </w:p>
          <w:p w:rsidR="00445423" w:rsidRPr="000460A4" w:rsidRDefault="00445423" w:rsidP="00DC5905">
            <w:pPr>
              <w:rPr>
                <w:rFonts w:asciiTheme="minorHAnsi" w:hAnsiTheme="minorHAnsi"/>
                <w:b/>
                <w:i/>
              </w:rPr>
            </w:pPr>
            <w:r w:rsidRPr="000460A4">
              <w:rPr>
                <w:rFonts w:asciiTheme="minorHAnsi" w:hAnsiTheme="minorHAnsi"/>
                <w:b/>
                <w:i/>
              </w:rPr>
              <w:t>(links to Actionable Improvement Plan 4)</w:t>
            </w:r>
          </w:p>
        </w:tc>
        <w:tc>
          <w:tcPr>
            <w:tcW w:w="3510" w:type="dxa"/>
          </w:tcPr>
          <w:p w:rsidR="001038FE" w:rsidRPr="000460A4" w:rsidRDefault="00445423" w:rsidP="00DC5905">
            <w:pPr>
              <w:rPr>
                <w:rFonts w:asciiTheme="minorHAnsi" w:hAnsiTheme="minorHAnsi"/>
              </w:rPr>
            </w:pPr>
            <w:r w:rsidRPr="000460A4">
              <w:rPr>
                <w:rFonts w:asciiTheme="minorHAnsi" w:hAnsiTheme="minorHAnsi"/>
              </w:rPr>
              <w:t xml:space="preserve">*Nan Gomez-Heitzeberg, </w:t>
            </w:r>
          </w:p>
          <w:p w:rsidR="00445423" w:rsidRPr="000460A4" w:rsidRDefault="001038FE" w:rsidP="00DC5905">
            <w:pPr>
              <w:rPr>
                <w:rFonts w:asciiTheme="minorHAnsi" w:hAnsiTheme="minorHAnsi"/>
              </w:rPr>
            </w:pPr>
            <w:r w:rsidRPr="000460A4">
              <w:rPr>
                <w:rFonts w:asciiTheme="minorHAnsi" w:hAnsiTheme="minorHAnsi"/>
              </w:rPr>
              <w:t xml:space="preserve">  </w:t>
            </w:r>
            <w:r w:rsidR="00445423" w:rsidRPr="000460A4">
              <w:rPr>
                <w:rFonts w:asciiTheme="minorHAnsi" w:hAnsiTheme="minorHAnsi"/>
              </w:rPr>
              <w:t>administrative lead</w:t>
            </w:r>
          </w:p>
          <w:p w:rsidR="00445423" w:rsidRPr="000460A4" w:rsidRDefault="00445423" w:rsidP="00DC5905">
            <w:pPr>
              <w:rPr>
                <w:rFonts w:asciiTheme="minorHAnsi" w:hAnsiTheme="minorHAnsi"/>
              </w:rPr>
            </w:pPr>
            <w:r w:rsidRPr="000460A4">
              <w:rPr>
                <w:rFonts w:asciiTheme="minorHAnsi" w:hAnsiTheme="minorHAnsi"/>
              </w:rPr>
              <w:t>*Michael Ivey, faculty lead</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Leah Carter</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Lynn Krausse</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Meg Stidham</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Mary Jo Pasek</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Abe Ali</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Manny Mourtzanos</w:t>
            </w:r>
          </w:p>
          <w:p w:rsidR="00991F29" w:rsidRPr="000460A4" w:rsidRDefault="00991F29" w:rsidP="00DC5905">
            <w:pPr>
              <w:rPr>
                <w:rFonts w:asciiTheme="minorHAnsi" w:hAnsiTheme="minorHAnsi"/>
              </w:rPr>
            </w:pPr>
            <w:r w:rsidRPr="000460A4">
              <w:rPr>
                <w:rFonts w:asciiTheme="minorHAnsi" w:hAnsiTheme="minorHAnsi"/>
              </w:rPr>
              <w:t xml:space="preserve">  Joyce Coleman</w:t>
            </w:r>
          </w:p>
          <w:p w:rsidR="00991F29" w:rsidRPr="000460A4" w:rsidRDefault="00991F29" w:rsidP="00DC5905">
            <w:pPr>
              <w:rPr>
                <w:rFonts w:asciiTheme="minorHAnsi" w:hAnsiTheme="minorHAnsi"/>
              </w:rPr>
            </w:pPr>
            <w:r w:rsidRPr="000460A4">
              <w:rPr>
                <w:rFonts w:asciiTheme="minorHAnsi" w:hAnsiTheme="minorHAnsi"/>
              </w:rPr>
              <w:t xml:space="preserve">  Ron Kean</w:t>
            </w:r>
          </w:p>
          <w:p w:rsidR="00991F29" w:rsidRPr="000460A4" w:rsidRDefault="00991F29" w:rsidP="00DC5905">
            <w:pPr>
              <w:rPr>
                <w:rFonts w:asciiTheme="minorHAnsi" w:hAnsiTheme="minorHAnsi"/>
              </w:rPr>
            </w:pPr>
            <w:r w:rsidRPr="000460A4">
              <w:rPr>
                <w:rFonts w:asciiTheme="minorHAnsi" w:hAnsiTheme="minorHAnsi"/>
              </w:rPr>
              <w:t xml:space="preserve">  Tina Johnson</w:t>
            </w:r>
          </w:p>
          <w:p w:rsidR="00BA0303" w:rsidRPr="000460A4" w:rsidRDefault="001038FE" w:rsidP="00DC5905">
            <w:pPr>
              <w:rPr>
                <w:rFonts w:asciiTheme="minorHAnsi" w:hAnsiTheme="minorHAnsi"/>
              </w:rPr>
            </w:pPr>
            <w:r w:rsidRPr="000460A4">
              <w:rPr>
                <w:rFonts w:asciiTheme="minorHAnsi" w:hAnsiTheme="minorHAnsi"/>
              </w:rPr>
              <w:t xml:space="preserve">  </w:t>
            </w:r>
            <w:r w:rsidR="00BA0303" w:rsidRPr="000460A4">
              <w:rPr>
                <w:rFonts w:asciiTheme="minorHAnsi" w:hAnsiTheme="minorHAnsi"/>
              </w:rPr>
              <w:t>Lisa Fitzgerald</w:t>
            </w:r>
            <w:r w:rsidR="004A1A78" w:rsidRPr="000460A4">
              <w:rPr>
                <w:rFonts w:asciiTheme="minorHAnsi" w:hAnsiTheme="minorHAnsi"/>
              </w:rPr>
              <w:t xml:space="preserve"> </w:t>
            </w:r>
            <w:r w:rsidR="00BA0303" w:rsidRPr="000460A4">
              <w:rPr>
                <w:rFonts w:asciiTheme="minorHAnsi" w:hAnsiTheme="minorHAnsi"/>
              </w:rPr>
              <w:t>(research)</w:t>
            </w:r>
          </w:p>
          <w:p w:rsidR="00445423" w:rsidRPr="000460A4" w:rsidRDefault="00445423" w:rsidP="00DC5905">
            <w:pPr>
              <w:rPr>
                <w:rFonts w:asciiTheme="minorHAnsi" w:hAnsiTheme="minorHAnsi"/>
                <w:i/>
              </w:rPr>
            </w:pPr>
            <w:r w:rsidRPr="000460A4">
              <w:rPr>
                <w:rFonts w:asciiTheme="minorHAnsi" w:hAnsiTheme="minorHAnsi"/>
                <w:i/>
              </w:rPr>
              <w:t>EODAC</w:t>
            </w:r>
            <w:r w:rsidR="00991F29" w:rsidRPr="000460A4">
              <w:rPr>
                <w:rFonts w:asciiTheme="minorHAnsi" w:hAnsiTheme="minorHAnsi"/>
                <w:i/>
              </w:rPr>
              <w:t xml:space="preserve"> (Equal Opportunity Diversity Advisory Committee)</w:t>
            </w:r>
          </w:p>
          <w:p w:rsidR="00445423" w:rsidRPr="000460A4" w:rsidRDefault="00445423" w:rsidP="00DC5905">
            <w:pPr>
              <w:rPr>
                <w:rFonts w:asciiTheme="minorHAnsi" w:hAnsiTheme="minorHAnsi"/>
                <w:i/>
              </w:rPr>
            </w:pPr>
            <w:r w:rsidRPr="000460A4">
              <w:rPr>
                <w:rFonts w:asciiTheme="minorHAnsi" w:hAnsiTheme="minorHAnsi"/>
                <w:i/>
              </w:rPr>
              <w:t>Equivalency Committee</w:t>
            </w:r>
          </w:p>
          <w:p w:rsidR="00BA0303" w:rsidRPr="000460A4" w:rsidRDefault="00D02A75" w:rsidP="001038FE">
            <w:pPr>
              <w:rPr>
                <w:rFonts w:asciiTheme="minorHAnsi" w:hAnsiTheme="minorHAnsi"/>
                <w:b/>
              </w:rPr>
            </w:pPr>
            <w:r w:rsidRPr="000460A4">
              <w:rPr>
                <w:rFonts w:asciiTheme="minorHAnsi" w:hAnsiTheme="minorHAnsi"/>
                <w:i/>
              </w:rPr>
              <w:t xml:space="preserve">Program Review Committee </w:t>
            </w:r>
          </w:p>
        </w:tc>
      </w:tr>
      <w:tr w:rsidR="00BA0303" w:rsidRPr="000460A4" w:rsidTr="001038FE">
        <w:tc>
          <w:tcPr>
            <w:tcW w:w="6840" w:type="dxa"/>
          </w:tcPr>
          <w:p w:rsidR="00BA0303" w:rsidRPr="000460A4" w:rsidRDefault="00BA0303" w:rsidP="00DC5905">
            <w:pPr>
              <w:pStyle w:val="NoSpacing"/>
              <w:rPr>
                <w:b/>
              </w:rPr>
            </w:pPr>
            <w:r w:rsidRPr="000460A4">
              <w:rPr>
                <w:b/>
              </w:rPr>
              <w:t>College Recommendation 6:  Develop a long-range capital projects planning process that supports and is aligned with institutional improvement goals of the College</w:t>
            </w:r>
          </w:p>
          <w:p w:rsidR="000460A4" w:rsidRDefault="00BA0303" w:rsidP="00EE525C">
            <w:pPr>
              <w:pStyle w:val="NoSpacing"/>
            </w:pPr>
            <w:r w:rsidRPr="000460A4">
              <w:t>In order to meet the Standards, the team recommends that the college develop a long-range capital projects planning process that supports and is aligned with institutional improvement goals of the College.  Additionally, the team recommends that the College include major renovations and facilities upgrades in the long-term plan for facilities.  (III.B.2.a)</w:t>
            </w:r>
            <w:r w:rsidR="00445423" w:rsidRPr="000460A4">
              <w:t xml:space="preserve">  </w:t>
            </w:r>
            <w:r w:rsidR="00EE525C" w:rsidRPr="000460A4">
              <w:t xml:space="preserve">                                   </w:t>
            </w:r>
          </w:p>
          <w:p w:rsidR="00BA0303" w:rsidRPr="000460A4" w:rsidRDefault="00EE525C" w:rsidP="00EE525C">
            <w:pPr>
              <w:pStyle w:val="NoSpacing"/>
              <w:rPr>
                <w:i/>
              </w:rPr>
            </w:pPr>
            <w:r w:rsidRPr="000460A4">
              <w:t xml:space="preserve"> </w:t>
            </w:r>
            <w:r w:rsidR="00445423" w:rsidRPr="000460A4">
              <w:rPr>
                <w:b/>
                <w:i/>
              </w:rPr>
              <w:t>(links to Actionable Improvement Plan 5)</w:t>
            </w:r>
          </w:p>
        </w:tc>
        <w:tc>
          <w:tcPr>
            <w:tcW w:w="3510" w:type="dxa"/>
          </w:tcPr>
          <w:p w:rsidR="00445423" w:rsidRPr="000460A4" w:rsidRDefault="00445423" w:rsidP="00DC5905">
            <w:pPr>
              <w:pStyle w:val="NoSpacing"/>
            </w:pPr>
            <w:r w:rsidRPr="000460A4">
              <w:t>*Sean James, administrative lead</w:t>
            </w:r>
          </w:p>
          <w:p w:rsidR="00BA0303" w:rsidRPr="000460A4" w:rsidRDefault="00445423" w:rsidP="00DC5905">
            <w:pPr>
              <w:pStyle w:val="NoSpacing"/>
            </w:pPr>
            <w:r w:rsidRPr="000460A4">
              <w:t>*</w:t>
            </w:r>
            <w:r w:rsidR="00BA0303" w:rsidRPr="000460A4">
              <w:t>Phil Whitney</w:t>
            </w:r>
            <w:r w:rsidRPr="000460A4">
              <w:t>, faculty lead</w:t>
            </w:r>
          </w:p>
          <w:p w:rsidR="00445423" w:rsidRPr="000460A4" w:rsidRDefault="001038FE" w:rsidP="00445423">
            <w:pPr>
              <w:pStyle w:val="NoSpacing"/>
            </w:pPr>
            <w:r w:rsidRPr="000460A4">
              <w:t xml:space="preserve">  </w:t>
            </w:r>
            <w:r w:rsidR="00445423" w:rsidRPr="000460A4">
              <w:t>Jim Coggins</w:t>
            </w:r>
          </w:p>
          <w:p w:rsidR="004A1A78" w:rsidRPr="000460A4" w:rsidRDefault="001038FE" w:rsidP="00DC5905">
            <w:pPr>
              <w:pStyle w:val="NoSpacing"/>
            </w:pPr>
            <w:r w:rsidRPr="000460A4">
              <w:t xml:space="preserve">  </w:t>
            </w:r>
            <w:r w:rsidR="004A1A78" w:rsidRPr="000460A4">
              <w:t>Todd Coston</w:t>
            </w:r>
          </w:p>
          <w:p w:rsidR="00EC1D28" w:rsidRPr="000460A4" w:rsidRDefault="00EC1D28" w:rsidP="00DC5905">
            <w:pPr>
              <w:pStyle w:val="NoSpacing"/>
              <w:rPr>
                <w:i/>
              </w:rPr>
            </w:pPr>
            <w:r w:rsidRPr="000460A4">
              <w:rPr>
                <w:i/>
              </w:rPr>
              <w:t>Facilities Committee</w:t>
            </w:r>
          </w:p>
          <w:p w:rsidR="004A1A78" w:rsidRPr="000460A4" w:rsidRDefault="004A1A78" w:rsidP="00DC5905">
            <w:pPr>
              <w:pStyle w:val="NoSpacing"/>
              <w:rPr>
                <w:b/>
                <w:i/>
              </w:rPr>
            </w:pPr>
          </w:p>
        </w:tc>
      </w:tr>
      <w:tr w:rsidR="00BA0303" w:rsidRPr="000460A4" w:rsidTr="001038FE">
        <w:tc>
          <w:tcPr>
            <w:tcW w:w="6840" w:type="dxa"/>
          </w:tcPr>
          <w:p w:rsidR="00BA0303" w:rsidRPr="000460A4" w:rsidRDefault="00BA0303" w:rsidP="00DC5905">
            <w:pPr>
              <w:pStyle w:val="NoSpacing"/>
              <w:rPr>
                <w:b/>
              </w:rPr>
            </w:pPr>
            <w:r w:rsidRPr="000460A4">
              <w:rPr>
                <w:b/>
              </w:rPr>
              <w:t>College Recommendation 7:  Develop an assessment methodology to evaluate how well technology resources support institutional goals</w:t>
            </w:r>
          </w:p>
          <w:p w:rsidR="00BA0303" w:rsidRPr="000460A4" w:rsidRDefault="00BA0303" w:rsidP="00DC5905">
            <w:pPr>
              <w:pStyle w:val="NoSpacing"/>
            </w:pPr>
            <w:r w:rsidRPr="000460A4">
              <w:t>In order to meet the Standards, the team recommends that the College develop and use an assessment methodology to evaluate how well technology resources support institutional goals and use the result of the evaluation as a basis for improvement.  (III.C.2)</w:t>
            </w:r>
          </w:p>
        </w:tc>
        <w:tc>
          <w:tcPr>
            <w:tcW w:w="3510" w:type="dxa"/>
          </w:tcPr>
          <w:p w:rsidR="00BA0303" w:rsidRPr="000460A4" w:rsidRDefault="00445423" w:rsidP="00DC5905">
            <w:pPr>
              <w:pStyle w:val="NoSpacing"/>
            </w:pPr>
            <w:r w:rsidRPr="000460A4">
              <w:t>*</w:t>
            </w:r>
            <w:r w:rsidR="00BA0303" w:rsidRPr="000460A4">
              <w:t>Todd Coston</w:t>
            </w:r>
            <w:r w:rsidRPr="000460A4">
              <w:t>, administrative lead</w:t>
            </w:r>
          </w:p>
          <w:p w:rsidR="00BA0303" w:rsidRPr="000460A4" w:rsidRDefault="00445423" w:rsidP="00DC5905">
            <w:pPr>
              <w:pStyle w:val="NoSpacing"/>
            </w:pPr>
            <w:r w:rsidRPr="000460A4">
              <w:t>*</w:t>
            </w:r>
            <w:r w:rsidR="00BA0303" w:rsidRPr="000460A4">
              <w:t>Nick Strobel</w:t>
            </w:r>
            <w:r w:rsidRPr="000460A4">
              <w:t>, faculty lead</w:t>
            </w:r>
          </w:p>
          <w:p w:rsidR="004A1A78" w:rsidRPr="000460A4" w:rsidRDefault="001038FE" w:rsidP="00DC5905">
            <w:pPr>
              <w:pStyle w:val="NoSpacing"/>
            </w:pPr>
            <w:r w:rsidRPr="000460A4">
              <w:t xml:space="preserve">  </w:t>
            </w:r>
            <w:r w:rsidR="004A1A78" w:rsidRPr="000460A4">
              <w:t>Sue Vaughn</w:t>
            </w:r>
          </w:p>
          <w:p w:rsidR="00B4763B" w:rsidRPr="000460A4" w:rsidRDefault="00B4763B" w:rsidP="00DC5905">
            <w:pPr>
              <w:pStyle w:val="NoSpacing"/>
              <w:rPr>
                <w:i/>
              </w:rPr>
            </w:pPr>
            <w:r w:rsidRPr="000460A4">
              <w:rPr>
                <w:i/>
              </w:rPr>
              <w:t>ISIT Committee</w:t>
            </w:r>
          </w:p>
          <w:p w:rsidR="004A1A78" w:rsidRPr="000460A4" w:rsidRDefault="004A1A78" w:rsidP="00DC5905">
            <w:pPr>
              <w:pStyle w:val="NoSpacing"/>
              <w:rPr>
                <w:b/>
                <w:i/>
              </w:rPr>
            </w:pPr>
            <w:r w:rsidRPr="000460A4">
              <w:rPr>
                <w:i/>
              </w:rPr>
              <w:t>FCDC</w:t>
            </w:r>
          </w:p>
        </w:tc>
      </w:tr>
      <w:tr w:rsidR="00BA0303" w:rsidRPr="000460A4" w:rsidTr="001038FE">
        <w:tc>
          <w:tcPr>
            <w:tcW w:w="6840" w:type="dxa"/>
          </w:tcPr>
          <w:p w:rsidR="00BA0303" w:rsidRPr="000460A4" w:rsidRDefault="00BA0303" w:rsidP="00DC5905">
            <w:pPr>
              <w:pStyle w:val="NoSpacing"/>
              <w:rPr>
                <w:b/>
              </w:rPr>
            </w:pPr>
            <w:r w:rsidRPr="000460A4">
              <w:rPr>
                <w:b/>
              </w:rPr>
              <w:t>College Recommendation 8:  The College President should establish effective communication with communities served by College</w:t>
            </w:r>
          </w:p>
          <w:p w:rsidR="00BA0303" w:rsidRPr="000460A4" w:rsidRDefault="00BA0303" w:rsidP="00DC5905">
            <w:pPr>
              <w:pStyle w:val="NoSpacing"/>
              <w:rPr>
                <w:b/>
              </w:rPr>
            </w:pPr>
            <w:r w:rsidRPr="000460A4">
              <w:t>In order to increase effectiveness, the team recommends that the College President engage community and business organizations that represent community interest areas for the purpose of establishing effective communication with the communities served by Bakersfield College.  (IV.B.2.e)</w:t>
            </w:r>
          </w:p>
        </w:tc>
        <w:tc>
          <w:tcPr>
            <w:tcW w:w="3510" w:type="dxa"/>
          </w:tcPr>
          <w:p w:rsidR="001038FE" w:rsidRPr="000460A4" w:rsidRDefault="00445423" w:rsidP="00DC5905">
            <w:pPr>
              <w:pStyle w:val="NoSpacing"/>
            </w:pPr>
            <w:r w:rsidRPr="000460A4">
              <w:t>*</w:t>
            </w:r>
            <w:r w:rsidR="00BA0303" w:rsidRPr="000460A4">
              <w:t>Sonya Christian</w:t>
            </w:r>
            <w:r w:rsidRPr="000460A4">
              <w:t xml:space="preserve">, administrative </w:t>
            </w:r>
          </w:p>
          <w:p w:rsidR="00BA0303" w:rsidRPr="000460A4" w:rsidRDefault="001038FE" w:rsidP="00DC5905">
            <w:pPr>
              <w:pStyle w:val="NoSpacing"/>
            </w:pPr>
            <w:r w:rsidRPr="000460A4">
              <w:t xml:space="preserve">  </w:t>
            </w:r>
            <w:r w:rsidR="00445423" w:rsidRPr="000460A4">
              <w:t>lead</w:t>
            </w:r>
          </w:p>
          <w:p w:rsidR="00445423" w:rsidRPr="000460A4" w:rsidRDefault="00445423" w:rsidP="00DC5905">
            <w:pPr>
              <w:pStyle w:val="NoSpacing"/>
            </w:pPr>
            <w:r w:rsidRPr="000460A4">
              <w:t>*Cornelio Rodriguez, faculty lead</w:t>
            </w:r>
          </w:p>
          <w:p w:rsidR="00EC1D28" w:rsidRPr="000460A4" w:rsidRDefault="001038FE" w:rsidP="00DC5905">
            <w:pPr>
              <w:pStyle w:val="NoSpacing"/>
            </w:pPr>
            <w:r w:rsidRPr="000460A4">
              <w:t xml:space="preserve">  </w:t>
            </w:r>
            <w:r w:rsidR="00EC1D28" w:rsidRPr="000460A4">
              <w:t>Amber Chiang</w:t>
            </w:r>
          </w:p>
          <w:p w:rsidR="004A1A78" w:rsidRPr="000460A4" w:rsidRDefault="001038FE" w:rsidP="00DC5905">
            <w:pPr>
              <w:pStyle w:val="NoSpacing"/>
            </w:pPr>
            <w:r w:rsidRPr="000460A4">
              <w:t xml:space="preserve">  </w:t>
            </w:r>
            <w:r w:rsidR="00445423" w:rsidRPr="000460A4">
              <w:t>Michelle Bresso</w:t>
            </w:r>
          </w:p>
        </w:tc>
      </w:tr>
    </w:tbl>
    <w:p w:rsidR="002D4BC6" w:rsidRPr="002D4BC6" w:rsidRDefault="00445423">
      <w:pPr>
        <w:pStyle w:val="NoSpacing"/>
        <w:rPr>
          <w:sz w:val="20"/>
          <w:szCs w:val="20"/>
        </w:rPr>
      </w:pPr>
      <w:r w:rsidRPr="002D4BC6">
        <w:rPr>
          <w:i/>
          <w:sz w:val="20"/>
          <w:szCs w:val="20"/>
        </w:rPr>
        <w:t>Kate Pluta, February 2</w:t>
      </w:r>
      <w:r w:rsidR="005F66A4">
        <w:rPr>
          <w:i/>
          <w:sz w:val="20"/>
          <w:szCs w:val="20"/>
        </w:rPr>
        <w:t>8</w:t>
      </w:r>
      <w:r w:rsidR="00BA0303" w:rsidRPr="002D4BC6">
        <w:rPr>
          <w:i/>
          <w:sz w:val="20"/>
          <w:szCs w:val="20"/>
        </w:rPr>
        <w:t>, 2013</w:t>
      </w:r>
      <w:r w:rsidR="005F66A4">
        <w:rPr>
          <w:i/>
          <w:sz w:val="20"/>
          <w:szCs w:val="20"/>
        </w:rPr>
        <w:tab/>
      </w:r>
      <w:r w:rsidR="005F66A4">
        <w:rPr>
          <w:i/>
          <w:sz w:val="20"/>
          <w:szCs w:val="20"/>
        </w:rPr>
        <w:tab/>
      </w:r>
      <w:r w:rsidR="005F66A4">
        <w:rPr>
          <w:i/>
          <w:sz w:val="20"/>
          <w:szCs w:val="20"/>
        </w:rPr>
        <w:tab/>
        <w:t>approved by Academic Senate, February 27, 2013</w:t>
      </w:r>
    </w:p>
    <w:sectPr w:rsidR="002D4BC6" w:rsidRPr="002D4BC6" w:rsidSect="00EE525C">
      <w:pgSz w:w="12240" w:h="15840"/>
      <w:pgMar w:top="864"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BA8" w:rsidRDefault="000D5BA8">
      <w:r>
        <w:separator/>
      </w:r>
    </w:p>
  </w:endnote>
  <w:endnote w:type="continuationSeparator" w:id="0">
    <w:p w:rsidR="000D5BA8" w:rsidRDefault="000D5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BA8" w:rsidRDefault="000D5BA8">
      <w:r>
        <w:separator/>
      </w:r>
    </w:p>
  </w:footnote>
  <w:footnote w:type="continuationSeparator" w:id="0">
    <w:p w:rsidR="000D5BA8" w:rsidRDefault="000D5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C1746"/>
    <w:multiLevelType w:val="hybridMultilevel"/>
    <w:tmpl w:val="02F60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0303"/>
    <w:rsid w:val="00013D72"/>
    <w:rsid w:val="000460A4"/>
    <w:rsid w:val="00060C41"/>
    <w:rsid w:val="000D5BA8"/>
    <w:rsid w:val="001038FE"/>
    <w:rsid w:val="001B76E6"/>
    <w:rsid w:val="001C7742"/>
    <w:rsid w:val="002639D5"/>
    <w:rsid w:val="002D4BC6"/>
    <w:rsid w:val="00423489"/>
    <w:rsid w:val="00445423"/>
    <w:rsid w:val="004A1A78"/>
    <w:rsid w:val="004E4343"/>
    <w:rsid w:val="00506064"/>
    <w:rsid w:val="005764D3"/>
    <w:rsid w:val="005F66A4"/>
    <w:rsid w:val="00991F29"/>
    <w:rsid w:val="009F193E"/>
    <w:rsid w:val="00A038B0"/>
    <w:rsid w:val="00B07939"/>
    <w:rsid w:val="00B4763B"/>
    <w:rsid w:val="00B97165"/>
    <w:rsid w:val="00BA0303"/>
    <w:rsid w:val="00C25C72"/>
    <w:rsid w:val="00D02A75"/>
    <w:rsid w:val="00DE5A67"/>
    <w:rsid w:val="00E03E31"/>
    <w:rsid w:val="00EC1D28"/>
    <w:rsid w:val="00EE525C"/>
    <w:rsid w:val="00F00ACA"/>
    <w:rsid w:val="00F63F0C"/>
    <w:rsid w:val="00FE5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0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303"/>
    <w:pPr>
      <w:spacing w:line="240" w:lineRule="auto"/>
    </w:pPr>
  </w:style>
  <w:style w:type="paragraph" w:styleId="Footer">
    <w:name w:val="footer"/>
    <w:basedOn w:val="Normal"/>
    <w:link w:val="FooterChar"/>
    <w:uiPriority w:val="99"/>
    <w:unhideWhenUsed/>
    <w:rsid w:val="00BA0303"/>
    <w:pPr>
      <w:tabs>
        <w:tab w:val="center" w:pos="4680"/>
        <w:tab w:val="right" w:pos="9360"/>
      </w:tabs>
    </w:pPr>
  </w:style>
  <w:style w:type="character" w:customStyle="1" w:styleId="FooterChar">
    <w:name w:val="Footer Char"/>
    <w:basedOn w:val="DefaultParagraphFont"/>
    <w:link w:val="Footer"/>
    <w:uiPriority w:val="99"/>
    <w:rsid w:val="00BA0303"/>
    <w:rPr>
      <w:rFonts w:ascii="Times New Roman" w:eastAsia="Times New Roman" w:hAnsi="Times New Roman" w:cs="Times New Roman"/>
      <w:sz w:val="24"/>
      <w:szCs w:val="24"/>
    </w:rPr>
  </w:style>
  <w:style w:type="table" w:styleId="TableGrid">
    <w:name w:val="Table Grid"/>
    <w:basedOn w:val="TableNormal"/>
    <w:uiPriority w:val="59"/>
    <w:rsid w:val="00BA03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0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0303"/>
    <w:pPr>
      <w:spacing w:line="240" w:lineRule="auto"/>
    </w:pPr>
  </w:style>
  <w:style w:type="paragraph" w:styleId="Footer">
    <w:name w:val="footer"/>
    <w:basedOn w:val="Normal"/>
    <w:link w:val="FooterChar"/>
    <w:uiPriority w:val="99"/>
    <w:unhideWhenUsed/>
    <w:rsid w:val="00BA0303"/>
    <w:pPr>
      <w:tabs>
        <w:tab w:val="center" w:pos="4680"/>
        <w:tab w:val="right" w:pos="9360"/>
      </w:tabs>
    </w:pPr>
  </w:style>
  <w:style w:type="character" w:customStyle="1" w:styleId="FooterChar">
    <w:name w:val="Footer Char"/>
    <w:basedOn w:val="DefaultParagraphFont"/>
    <w:link w:val="Footer"/>
    <w:uiPriority w:val="99"/>
    <w:rsid w:val="00BA0303"/>
    <w:rPr>
      <w:rFonts w:ascii="Times New Roman" w:eastAsia="Times New Roman" w:hAnsi="Times New Roman" w:cs="Times New Roman"/>
      <w:sz w:val="24"/>
      <w:szCs w:val="24"/>
    </w:rPr>
  </w:style>
  <w:style w:type="table" w:styleId="TableGrid">
    <w:name w:val="Table Grid"/>
    <w:basedOn w:val="TableNormal"/>
    <w:uiPriority w:val="59"/>
    <w:rsid w:val="00BA030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imguser</cp:lastModifiedBy>
  <cp:revision>2</cp:revision>
  <dcterms:created xsi:type="dcterms:W3CDTF">2013-02-28T20:38:00Z</dcterms:created>
  <dcterms:modified xsi:type="dcterms:W3CDTF">2013-02-28T20:38:00Z</dcterms:modified>
</cp:coreProperties>
</file>